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4263" w14:textId="77777777" w:rsidR="009228C1" w:rsidRPr="00993C15" w:rsidRDefault="009228C1" w:rsidP="009228C1">
      <w:pPr>
        <w:rPr>
          <w:rFonts w:asciiTheme="minorHAnsi" w:hAnsiTheme="minorHAnsi" w:cstheme="minorHAnsi"/>
          <w:sz w:val="32"/>
          <w:szCs w:val="32"/>
        </w:rPr>
      </w:pPr>
      <w:r w:rsidRPr="00993C15">
        <w:rPr>
          <w:rFonts w:asciiTheme="minorHAnsi" w:hAnsiTheme="minorHAnsi" w:cstheme="minorHAnsi"/>
          <w:sz w:val="32"/>
          <w:szCs w:val="32"/>
        </w:rPr>
        <w:t xml:space="preserve">Block a and b Section AD Lawson </w:t>
      </w:r>
    </w:p>
    <w:p w14:paraId="648480AB" w14:textId="77777777" w:rsidR="009228C1" w:rsidRPr="00993C15" w:rsidRDefault="009228C1" w:rsidP="009228C1">
      <w:pPr>
        <w:rPr>
          <w:rFonts w:asciiTheme="minorHAnsi" w:hAnsiTheme="minorHAnsi" w:cstheme="minorHAnsi"/>
          <w:sz w:val="28"/>
          <w:szCs w:val="28"/>
        </w:rPr>
      </w:pPr>
      <w:r w:rsidRPr="00993C15">
        <w:rPr>
          <w:rFonts w:asciiTheme="minorHAnsi" w:hAnsiTheme="minorHAnsi" w:cstheme="minorHAnsi"/>
          <w:sz w:val="28"/>
          <w:szCs w:val="28"/>
        </w:rPr>
        <w:t>Background information</w:t>
      </w:r>
    </w:p>
    <w:p w14:paraId="4A48FC82" w14:textId="77777777" w:rsidR="009228C1" w:rsidRPr="00993C15" w:rsidRDefault="009228C1" w:rsidP="009228C1">
      <w:pPr>
        <w:rPr>
          <w:rFonts w:asciiTheme="minorHAnsi" w:hAnsiTheme="minorHAnsi" w:cstheme="minorHAnsi"/>
        </w:rPr>
      </w:pPr>
      <w:r w:rsidRPr="00993C15">
        <w:rPr>
          <w:rFonts w:asciiTheme="minorHAnsi" w:hAnsiTheme="minorHAnsi" w:cstheme="minorHAnsi"/>
        </w:rPr>
        <w:t>Summary Overview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1"/>
      </w:tblGrid>
      <w:tr w:rsidR="009228C1" w:rsidRPr="00602BEC" w14:paraId="4AC6F460" w14:textId="77777777" w:rsidTr="00116C33">
        <w:tc>
          <w:tcPr>
            <w:tcW w:w="2405" w:type="dxa"/>
          </w:tcPr>
          <w:p w14:paraId="6D0BDFA4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Area</w:t>
            </w:r>
          </w:p>
        </w:tc>
        <w:tc>
          <w:tcPr>
            <w:tcW w:w="6611" w:type="dxa"/>
          </w:tcPr>
          <w:p w14:paraId="7B8F7D4D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19,648m</w:t>
            </w:r>
            <w:r w:rsidRPr="00602BE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9228C1" w:rsidRPr="00602BEC" w14:paraId="0C72BC47" w14:textId="77777777" w:rsidTr="00116C33">
        <w:tc>
          <w:tcPr>
            <w:tcW w:w="2405" w:type="dxa"/>
          </w:tcPr>
          <w:p w14:paraId="4D99D506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Indicative Land Release</w:t>
            </w:r>
          </w:p>
          <w:p w14:paraId="218E3254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Program (ILRP) yield</w:t>
            </w:r>
          </w:p>
          <w:p w14:paraId="672D909D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 xml:space="preserve">Financial Year (FY) 23-24 to FY 27-28 </w:t>
            </w:r>
          </w:p>
        </w:tc>
        <w:tc>
          <w:tcPr>
            <w:tcW w:w="6611" w:type="dxa"/>
          </w:tcPr>
          <w:p w14:paraId="5A11B78B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Within 23-24FY the ILRP identifies the release of Block a and b Section AD as an opportunity for a maximum of 138 new residential dwellings, including 16 affordable dwellings and 5 community. It also identifies 1,500m² of commercial Gross Floor Area (GFA) to be incorporated in any future development.</w:t>
            </w:r>
          </w:p>
          <w:p w14:paraId="4AE89D04" w14:textId="673F6D92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 xml:space="preserve">The proposed dwelling </w:t>
            </w:r>
            <w:proofErr w:type="gramStart"/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yields</w:t>
            </w:r>
            <w:proofErr w:type="gramEnd"/>
            <w:r w:rsidRPr="00602BEC">
              <w:rPr>
                <w:rFonts w:asciiTheme="minorHAnsi" w:hAnsiTheme="minorHAnsi" w:cstheme="minorHAnsi"/>
                <w:sz w:val="22"/>
                <w:szCs w:val="22"/>
              </w:rPr>
              <w:t xml:space="preserve"> for each site is as follows:</w:t>
            </w:r>
          </w:p>
          <w:p w14:paraId="58DC922C" w14:textId="77777777" w:rsidR="009228C1" w:rsidRPr="00602BEC" w:rsidRDefault="009228C1" w:rsidP="009228C1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</w:rPr>
            </w:pPr>
            <w:r w:rsidRPr="00602BEC">
              <w:rPr>
                <w:rFonts w:asciiTheme="minorHAnsi" w:hAnsiTheme="minorHAnsi" w:cstheme="minorHAnsi"/>
              </w:rPr>
              <w:t>Block a Section AD (42 to 73 units)</w:t>
            </w:r>
          </w:p>
          <w:p w14:paraId="20E07528" w14:textId="77777777" w:rsidR="009228C1" w:rsidRPr="00602BEC" w:rsidRDefault="009228C1" w:rsidP="009228C1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</w:rPr>
            </w:pPr>
            <w:r w:rsidRPr="00602BEC">
              <w:rPr>
                <w:rFonts w:asciiTheme="minorHAnsi" w:hAnsiTheme="minorHAnsi" w:cstheme="minorHAnsi"/>
              </w:rPr>
              <w:t>Block b Section AD (37 to 65 units)</w:t>
            </w:r>
          </w:p>
          <w:p w14:paraId="5DFB4AD5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8C1" w:rsidRPr="00602BEC" w14:paraId="38FA48AC" w14:textId="77777777" w:rsidTr="00116C33">
        <w:tc>
          <w:tcPr>
            <w:tcW w:w="2405" w:type="dxa"/>
          </w:tcPr>
          <w:p w14:paraId="28AD9CAD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Land use zoning</w:t>
            </w:r>
          </w:p>
        </w:tc>
        <w:tc>
          <w:tcPr>
            <w:tcW w:w="6611" w:type="dxa"/>
          </w:tcPr>
          <w:p w14:paraId="27606B1F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Mixed-Use Zone (CZ5)</w:t>
            </w:r>
          </w:p>
        </w:tc>
      </w:tr>
      <w:tr w:rsidR="009228C1" w:rsidRPr="00602BEC" w14:paraId="29849A92" w14:textId="77777777" w:rsidTr="00116C33">
        <w:tc>
          <w:tcPr>
            <w:tcW w:w="2405" w:type="dxa"/>
          </w:tcPr>
          <w:p w14:paraId="74C2C21A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Permitted merit track developments under the Territory Plan (TP)</w:t>
            </w:r>
          </w:p>
        </w:tc>
        <w:tc>
          <w:tcPr>
            <w:tcW w:w="6611" w:type="dxa"/>
          </w:tcPr>
          <w:p w14:paraId="6E9D548E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ancillary use</w:t>
            </w:r>
          </w:p>
          <w:p w14:paraId="24C1C832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boarding house</w:t>
            </w:r>
          </w:p>
          <w:p w14:paraId="3929DC57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 park </w:t>
            </w:r>
          </w:p>
          <w:p w14:paraId="15F6B599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communications facility</w:t>
            </w:r>
          </w:p>
          <w:p w14:paraId="34A166B4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community use</w:t>
            </w:r>
          </w:p>
          <w:p w14:paraId="2EEDE31B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consolidation </w:t>
            </w:r>
          </w:p>
          <w:p w14:paraId="772E42DF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demolition </w:t>
            </w:r>
          </w:p>
          <w:p w14:paraId="44C84A77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development in a location and of a type identified in a precinct map as additional merit track </w:t>
            </w:r>
            <w:proofErr w:type="gramStart"/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development</w:t>
            </w:r>
            <w:proofErr w:type="gramEnd"/>
          </w:p>
          <w:p w14:paraId="52DD8EF8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emergency services facility </w:t>
            </w:r>
          </w:p>
          <w:p w14:paraId="18C2B4D6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guest house</w:t>
            </w:r>
          </w:p>
          <w:p w14:paraId="00A02912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home business </w:t>
            </w:r>
          </w:p>
          <w:p w14:paraId="1B545B47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hotel</w:t>
            </w:r>
          </w:p>
          <w:p w14:paraId="0E3E6E11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indoor recreation facility </w:t>
            </w:r>
          </w:p>
          <w:p w14:paraId="0C1134CB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minor road</w:t>
            </w:r>
          </w:p>
          <w:p w14:paraId="0B230AD5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minor use</w:t>
            </w:r>
          </w:p>
          <w:p w14:paraId="5A633640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motel</w:t>
            </w:r>
          </w:p>
          <w:p w14:paraId="2B252588" w14:textId="77777777" w:rsidR="009228C1" w:rsidRPr="00602BEC" w:rsidRDefault="009228C1" w:rsidP="009228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multi-unit housing</w:t>
            </w:r>
          </w:p>
          <w:p w14:paraId="4B1DA055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non-retail commercial outdoor recreation facility</w:t>
            </w:r>
          </w:p>
          <w:p w14:paraId="4A9CB31F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parkland</w:t>
            </w:r>
          </w:p>
          <w:p w14:paraId="789088B8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pedestrian plaza</w:t>
            </w:r>
          </w:p>
          <w:p w14:paraId="5BDA0097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place of assembly</w:t>
            </w:r>
          </w:p>
          <w:p w14:paraId="55558389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 transport facility</w:t>
            </w:r>
          </w:p>
          <w:p w14:paraId="4CA40113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residential use</w:t>
            </w:r>
          </w:p>
          <w:p w14:paraId="4ACA1BBB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restaurant</w:t>
            </w:r>
          </w:p>
          <w:p w14:paraId="4696A901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serviced apartment</w:t>
            </w:r>
          </w:p>
          <w:p w14:paraId="1CDE5D90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shop</w:t>
            </w:r>
          </w:p>
          <w:p w14:paraId="19B81AC2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</w:t>
            </w:r>
          </w:p>
          <w:p w14:paraId="46E735DB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subdivision</w:t>
            </w:r>
          </w:p>
          <w:p w14:paraId="2F09E0EF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temporary use</w:t>
            </w:r>
          </w:p>
          <w:p w14:paraId="29070A84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tourist facility</w:t>
            </w:r>
          </w:p>
          <w:p w14:paraId="0E2B2DB1" w14:textId="77777777" w:rsidR="009228C1" w:rsidRPr="00602BEC" w:rsidRDefault="009228C1" w:rsidP="009228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varying a lease (where not prohibited, code track or impact track assessable)</w:t>
            </w:r>
          </w:p>
        </w:tc>
      </w:tr>
      <w:tr w:rsidR="009228C1" w:rsidRPr="00602BEC" w14:paraId="5D752693" w14:textId="77777777" w:rsidTr="00116C33">
        <w:tc>
          <w:tcPr>
            <w:tcW w:w="2405" w:type="dxa"/>
          </w:tcPr>
          <w:p w14:paraId="5F2AA083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Permissible heights under the Territory Plan</w:t>
            </w:r>
          </w:p>
        </w:tc>
        <w:tc>
          <w:tcPr>
            <w:tcW w:w="6611" w:type="dxa"/>
          </w:tcPr>
          <w:p w14:paraId="015CBAC1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 xml:space="preserve">The minimum </w:t>
            </w:r>
            <w:r w:rsidRPr="00602B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height of building </w:t>
            </w: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is 3 storeys, with the proposed maximum 4 storeys.</w:t>
            </w:r>
          </w:p>
        </w:tc>
      </w:tr>
      <w:tr w:rsidR="009228C1" w:rsidRPr="00602BEC" w14:paraId="488FEA08" w14:textId="77777777" w:rsidTr="00116C33">
        <w:tc>
          <w:tcPr>
            <w:tcW w:w="2405" w:type="dxa"/>
          </w:tcPr>
          <w:p w14:paraId="7255B289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Heritage</w:t>
            </w:r>
          </w:p>
        </w:tc>
        <w:tc>
          <w:tcPr>
            <w:tcW w:w="6611" w:type="dxa"/>
          </w:tcPr>
          <w:p w14:paraId="5CAF34F8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Not applicable.</w:t>
            </w:r>
          </w:p>
        </w:tc>
      </w:tr>
      <w:tr w:rsidR="009228C1" w:rsidRPr="00602BEC" w14:paraId="688540F2" w14:textId="77777777" w:rsidTr="00116C33">
        <w:tc>
          <w:tcPr>
            <w:tcW w:w="2405" w:type="dxa"/>
          </w:tcPr>
          <w:p w14:paraId="541209E0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Site Constraints</w:t>
            </w:r>
          </w:p>
        </w:tc>
        <w:tc>
          <w:tcPr>
            <w:tcW w:w="6611" w:type="dxa"/>
          </w:tcPr>
          <w:p w14:paraId="5311AF77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 xml:space="preserve">The current planning for the site indicates that there are no significant constraints for the site at this stage. </w:t>
            </w:r>
          </w:p>
        </w:tc>
      </w:tr>
      <w:tr w:rsidR="009228C1" w:rsidRPr="00602BEC" w14:paraId="2A87DEEF" w14:textId="77777777" w:rsidTr="00116C33">
        <w:tc>
          <w:tcPr>
            <w:tcW w:w="2405" w:type="dxa"/>
          </w:tcPr>
          <w:p w14:paraId="5B196026" w14:textId="77777777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 xml:space="preserve">Lawson South Structure Plan </w:t>
            </w:r>
          </w:p>
        </w:tc>
        <w:tc>
          <w:tcPr>
            <w:tcW w:w="6611" w:type="dxa"/>
          </w:tcPr>
          <w:p w14:paraId="17C2E2EA" w14:textId="148756C3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 xml:space="preserve">The Lawson South Structure Plan stipulates that “A mixed-use local centre is to be provided as a focus for commercial and retail uses to service the local community. Uses may include a convenience store, cafes, </w:t>
            </w:r>
            <w:r w:rsidR="00993C15" w:rsidRPr="00602BEC">
              <w:rPr>
                <w:rFonts w:asciiTheme="minorHAnsi" w:hAnsiTheme="minorHAnsi" w:cstheme="minorHAnsi"/>
                <w:sz w:val="22"/>
                <w:szCs w:val="22"/>
              </w:rPr>
              <w:t>restaurants,</w:t>
            </w: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 xml:space="preserve"> and a range of other low key commercial and business services at ground floor level, with residential development on the upper floors.”</w:t>
            </w:r>
          </w:p>
        </w:tc>
      </w:tr>
      <w:tr w:rsidR="009228C1" w:rsidRPr="00602BEC" w14:paraId="14A3553E" w14:textId="77777777" w:rsidTr="00116C33">
        <w:tc>
          <w:tcPr>
            <w:tcW w:w="2405" w:type="dxa"/>
          </w:tcPr>
          <w:p w14:paraId="39804BF2" w14:textId="77777777" w:rsidR="009228C1" w:rsidRPr="00602BEC" w:rsidDel="00563FB2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Lawson South Concept Plan</w:t>
            </w:r>
          </w:p>
        </w:tc>
        <w:tc>
          <w:tcPr>
            <w:tcW w:w="6611" w:type="dxa"/>
          </w:tcPr>
          <w:p w14:paraId="09EE4395" w14:textId="3774A88A" w:rsidR="009228C1" w:rsidRPr="00602BEC" w:rsidRDefault="009228C1" w:rsidP="00116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 xml:space="preserve">R35 of the Lawson South Concept Plan stipulates that “the total maximum floor area for shop, restaurant and </w:t>
            </w:r>
            <w:r w:rsidR="00993C15" w:rsidRPr="00602BEC">
              <w:rPr>
                <w:rFonts w:asciiTheme="minorHAnsi" w:hAnsiTheme="minorHAnsi" w:cstheme="minorHAnsi"/>
                <w:sz w:val="22"/>
                <w:szCs w:val="22"/>
              </w:rPr>
              <w:t>non-retail</w:t>
            </w: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 xml:space="preserve"> commercial uses within the commercial CZ5 mixed use zone is 1500m</w:t>
            </w:r>
            <w:r w:rsidRPr="00602BE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>, of which a maximum of 700m</w:t>
            </w:r>
            <w:r w:rsidRPr="00602BE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2BEC">
              <w:rPr>
                <w:rFonts w:asciiTheme="minorHAnsi" w:hAnsiTheme="minorHAnsi" w:cstheme="minorHAnsi"/>
                <w:sz w:val="22"/>
                <w:szCs w:val="22"/>
              </w:rPr>
              <w:t xml:space="preserve"> can be used for supermarket. </w:t>
            </w:r>
          </w:p>
        </w:tc>
      </w:tr>
    </w:tbl>
    <w:p w14:paraId="5909E225" w14:textId="77777777" w:rsidR="009228C1" w:rsidRPr="00602BEC" w:rsidRDefault="009228C1" w:rsidP="009228C1">
      <w:pPr>
        <w:rPr>
          <w:rFonts w:asciiTheme="minorHAnsi" w:hAnsiTheme="minorHAnsi" w:cstheme="minorHAnsi"/>
          <w:sz w:val="22"/>
          <w:szCs w:val="22"/>
        </w:rPr>
      </w:pPr>
    </w:p>
    <w:p w14:paraId="767248CD" w14:textId="5F61B79C" w:rsidR="001A0320" w:rsidRPr="00602BEC" w:rsidRDefault="001A0320" w:rsidP="00453030">
      <w:pPr>
        <w:spacing w:after="0"/>
        <w:ind w:right="974"/>
        <w:jc w:val="both"/>
        <w:rPr>
          <w:rFonts w:asciiTheme="minorHAnsi" w:hAnsiTheme="minorHAnsi" w:cstheme="minorHAnsi"/>
          <w:sz w:val="22"/>
          <w:szCs w:val="22"/>
        </w:rPr>
      </w:pPr>
    </w:p>
    <w:sectPr w:rsidR="001A0320" w:rsidRPr="00602BEC" w:rsidSect="00634B97">
      <w:headerReference w:type="default" r:id="rId7"/>
      <w:footerReference w:type="default" r:id="rId8"/>
      <w:pgSz w:w="11906" w:h="16838" w:code="9"/>
      <w:pgMar w:top="238" w:right="1841" w:bottom="1440" w:left="107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001A" w14:textId="77777777" w:rsidR="001264FB" w:rsidRDefault="001264FB" w:rsidP="00C12F8F">
      <w:pPr>
        <w:spacing w:after="0"/>
      </w:pPr>
      <w:r>
        <w:separator/>
      </w:r>
    </w:p>
  </w:endnote>
  <w:endnote w:type="continuationSeparator" w:id="0">
    <w:p w14:paraId="243D790E" w14:textId="77777777" w:rsidR="001264FB" w:rsidRDefault="001264FB" w:rsidP="00C12F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BA46" w14:textId="39BBEB4C" w:rsidR="001A5D50" w:rsidRPr="00E53104" w:rsidRDefault="002D566E" w:rsidP="005431DE">
    <w:pPr>
      <w:pStyle w:val="Footer"/>
      <w:rPr>
        <w:rFonts w:ascii="Segoe UI" w:hAnsi="Segoe UI" w:cs="Segoe UI"/>
        <w:color w:val="252423"/>
        <w:sz w:val="18"/>
        <w:szCs w:val="18"/>
        <w:shd w:val="clear" w:color="auto" w:fill="FFFFFF"/>
      </w:rPr>
    </w:pPr>
    <w:r>
      <w:rPr>
        <w:rFonts w:ascii="Segoe UI" w:hAnsi="Segoe UI" w:cs="Segoe UI"/>
        <w:noProof/>
        <w:color w:val="252423"/>
        <w:sz w:val="18"/>
        <w:szCs w:val="18"/>
        <w:shd w:val="clear" w:color="auto" w:fill="FFFFFF"/>
      </w:rPr>
      <w:drawing>
        <wp:anchor distT="360045" distB="0" distL="360045" distR="180340" simplePos="0" relativeHeight="251659264" behindDoc="0" locked="0" layoutInCell="1" allowOverlap="1" wp14:anchorId="7FF2E1BF" wp14:editId="2375B6D1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909955" cy="32385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95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D50" w:rsidRPr="00E53104">
      <w:rPr>
        <w:rFonts w:ascii="Segoe UI" w:hAnsi="Segoe UI" w:cs="Segoe UI"/>
        <w:color w:val="252423"/>
        <w:sz w:val="18"/>
        <w:szCs w:val="18"/>
        <w:shd w:val="clear" w:color="auto" w:fill="FFFFFF"/>
      </w:rPr>
      <w:t xml:space="preserve">We acknowledge the Ngunnawal people, the Traditional Custodians </w:t>
    </w:r>
    <w:r w:rsidR="00036028" w:rsidRPr="00036028">
      <w:rPr>
        <w:rFonts w:ascii="Segoe UI" w:hAnsi="Segoe UI" w:cs="Segoe UI"/>
        <w:color w:val="252423"/>
        <w:sz w:val="18"/>
        <w:szCs w:val="18"/>
        <w:shd w:val="clear" w:color="auto" w:fill="FFFFFF"/>
      </w:rPr>
      <w:t xml:space="preserve">and recognise any other people or families with connection to the lands </w:t>
    </w:r>
    <w:r w:rsidR="00036028" w:rsidRPr="00E53104">
      <w:rPr>
        <w:rFonts w:ascii="Segoe UI" w:hAnsi="Segoe UI" w:cs="Segoe UI"/>
        <w:color w:val="252423"/>
        <w:sz w:val="18"/>
        <w:szCs w:val="18"/>
        <w:shd w:val="clear" w:color="auto" w:fill="FFFFFF"/>
      </w:rPr>
      <w:t>and waters where we live and work</w:t>
    </w:r>
    <w:r w:rsidR="00036028" w:rsidRPr="00036028">
      <w:rPr>
        <w:rFonts w:ascii="Segoe UI" w:hAnsi="Segoe UI" w:cs="Segoe UI"/>
        <w:color w:val="252423"/>
        <w:sz w:val="18"/>
        <w:szCs w:val="18"/>
        <w:shd w:val="clear" w:color="auto" w:fill="FFFFFF"/>
      </w:rPr>
      <w:t xml:space="preserve"> </w:t>
    </w:r>
    <w:r w:rsidR="00036028">
      <w:rPr>
        <w:rFonts w:ascii="Segoe UI" w:hAnsi="Segoe UI" w:cs="Segoe UI"/>
        <w:color w:val="252423"/>
        <w:sz w:val="18"/>
        <w:szCs w:val="18"/>
        <w:shd w:val="clear" w:color="auto" w:fill="FFFFFF"/>
      </w:rPr>
      <w:t>in</w:t>
    </w:r>
    <w:r w:rsidR="00036028" w:rsidRPr="00036028">
      <w:rPr>
        <w:rFonts w:ascii="Segoe UI" w:hAnsi="Segoe UI" w:cs="Segoe UI"/>
        <w:color w:val="252423"/>
        <w:sz w:val="18"/>
        <w:szCs w:val="18"/>
        <w:shd w:val="clear" w:color="auto" w:fill="FFFFFF"/>
      </w:rPr>
      <w:t xml:space="preserve"> the ACT</w:t>
    </w:r>
    <w:r w:rsidR="00036028">
      <w:rPr>
        <w:rFonts w:ascii="Segoe UI" w:hAnsi="Segoe UI" w:cs="Segoe UI"/>
        <w:color w:val="252423"/>
        <w:sz w:val="18"/>
        <w:szCs w:val="18"/>
        <w:shd w:val="clear" w:color="auto" w:fill="FFFFFF"/>
      </w:rPr>
      <w:t xml:space="preserve"> and region</w:t>
    </w:r>
    <w:r w:rsidR="001A5D50" w:rsidRPr="00E53104">
      <w:rPr>
        <w:rFonts w:ascii="Segoe UI" w:hAnsi="Segoe UI" w:cs="Segoe UI"/>
        <w:color w:val="252423"/>
        <w:sz w:val="18"/>
        <w:szCs w:val="18"/>
        <w:shd w:val="clear" w:color="auto" w:fill="FFFFFF"/>
      </w:rPr>
      <w:t xml:space="preserve">, and pay our respects to the </w:t>
    </w:r>
    <w:proofErr w:type="gramStart"/>
    <w:r w:rsidR="001A5D50" w:rsidRPr="00E53104">
      <w:rPr>
        <w:rFonts w:ascii="Segoe UI" w:hAnsi="Segoe UI" w:cs="Segoe UI"/>
        <w:color w:val="252423"/>
        <w:sz w:val="18"/>
        <w:szCs w:val="18"/>
        <w:shd w:val="clear" w:color="auto" w:fill="FFFFFF"/>
      </w:rPr>
      <w:t>elders</w:t>
    </w:r>
    <w:proofErr w:type="gramEnd"/>
    <w:r w:rsidR="001A5D50" w:rsidRPr="00E53104">
      <w:rPr>
        <w:rFonts w:ascii="Segoe UI" w:hAnsi="Segoe UI" w:cs="Segoe UI"/>
        <w:color w:val="252423"/>
        <w:sz w:val="18"/>
        <w:szCs w:val="18"/>
        <w:shd w:val="clear" w:color="auto" w:fill="FFFFFF"/>
      </w:rPr>
      <w:t xml:space="preserve"> past, present and future.</w:t>
    </w:r>
  </w:p>
  <w:p w14:paraId="55DDBBB1" w14:textId="77777777" w:rsidR="0072289C" w:rsidRPr="0072289C" w:rsidRDefault="0072289C" w:rsidP="0072289C">
    <w:pPr>
      <w:pStyle w:val="Footer"/>
      <w:jc w:val="center"/>
      <w:rPr>
        <w:rFonts w:ascii="Segoe UI" w:hAnsi="Segoe UI" w:cs="Segoe UI"/>
        <w:color w:val="252423"/>
        <w:sz w:val="16"/>
        <w:szCs w:val="16"/>
        <w:shd w:val="clear" w:color="auto" w:fill="FFFFFF"/>
      </w:rPr>
    </w:pPr>
  </w:p>
  <w:p w14:paraId="2CB58204" w14:textId="495B0EF2" w:rsidR="001A0320" w:rsidRPr="00A852ED" w:rsidRDefault="001A0320" w:rsidP="007F3D19">
    <w:pPr>
      <w:pStyle w:val="Footer"/>
      <w:tabs>
        <w:tab w:val="clear" w:pos="4513"/>
        <w:tab w:val="left" w:pos="3686"/>
        <w:tab w:val="left" w:pos="4962"/>
        <w:tab w:val="left" w:pos="6663"/>
      </w:tabs>
      <w:rPr>
        <w:b/>
        <w:bCs/>
        <w:sz w:val="18"/>
        <w:szCs w:val="18"/>
      </w:rPr>
    </w:pPr>
    <w:r w:rsidRPr="00A852ED">
      <w:rPr>
        <w:b/>
        <w:bCs/>
        <w:sz w:val="18"/>
        <w:szCs w:val="18"/>
      </w:rPr>
      <w:t>4</w:t>
    </w:r>
    <w:r w:rsidR="001B371A" w:rsidRPr="00A852ED">
      <w:rPr>
        <w:b/>
        <w:bCs/>
        <w:sz w:val="18"/>
        <w:szCs w:val="18"/>
      </w:rPr>
      <w:t>8</w:t>
    </w:r>
    <w:r w:rsidRPr="00A852ED">
      <w:rPr>
        <w:b/>
        <w:bCs/>
        <w:sz w:val="18"/>
        <w:szCs w:val="18"/>
      </w:rPr>
      <w:t>0 Northbourne Avenue, Dickson ACT 260</w:t>
    </w:r>
    <w:r w:rsidR="00000207" w:rsidRPr="00A852ED">
      <w:rPr>
        <w:b/>
        <w:bCs/>
        <w:sz w:val="18"/>
        <w:szCs w:val="18"/>
      </w:rPr>
      <w:t>2</w:t>
    </w:r>
    <w:r w:rsidR="00A852ED">
      <w:rPr>
        <w:b/>
        <w:bCs/>
        <w:sz w:val="18"/>
        <w:szCs w:val="18"/>
      </w:rPr>
      <w:tab/>
    </w:r>
    <w:r w:rsidR="001B371A" w:rsidRPr="00A852ED">
      <w:rPr>
        <w:b/>
        <w:bCs/>
        <w:sz w:val="18"/>
        <w:szCs w:val="18"/>
      </w:rPr>
      <w:t>P</w:t>
    </w:r>
    <w:r w:rsidRPr="00A852ED">
      <w:rPr>
        <w:b/>
        <w:bCs/>
        <w:sz w:val="18"/>
        <w:szCs w:val="18"/>
      </w:rPr>
      <w:t>: 02 6205 060</w:t>
    </w:r>
    <w:r w:rsidR="003571D1" w:rsidRPr="00A852ED">
      <w:rPr>
        <w:b/>
        <w:bCs/>
        <w:sz w:val="18"/>
        <w:szCs w:val="18"/>
      </w:rPr>
      <w:t>0</w:t>
    </w:r>
    <w:r w:rsidR="007F3D19">
      <w:rPr>
        <w:b/>
        <w:bCs/>
        <w:sz w:val="18"/>
        <w:szCs w:val="18"/>
      </w:rPr>
      <w:tab/>
    </w:r>
    <w:r w:rsidRPr="00A852ED">
      <w:rPr>
        <w:b/>
        <w:bCs/>
        <w:sz w:val="18"/>
        <w:szCs w:val="18"/>
      </w:rPr>
      <w:t>F</w:t>
    </w:r>
    <w:r w:rsidR="001B371A" w:rsidRPr="00A852ED">
      <w:rPr>
        <w:b/>
        <w:bCs/>
        <w:sz w:val="18"/>
        <w:szCs w:val="18"/>
      </w:rPr>
      <w:t>:</w:t>
    </w:r>
    <w:r w:rsidRPr="00A852ED">
      <w:rPr>
        <w:b/>
        <w:bCs/>
        <w:sz w:val="18"/>
        <w:szCs w:val="18"/>
      </w:rPr>
      <w:t xml:space="preserve"> 02 6207 5101</w:t>
    </w:r>
    <w:r w:rsidR="007F3D19">
      <w:rPr>
        <w:b/>
        <w:bCs/>
        <w:sz w:val="18"/>
        <w:szCs w:val="18"/>
      </w:rPr>
      <w:tab/>
    </w:r>
    <w:r w:rsidRPr="00A852ED">
      <w:rPr>
        <w:b/>
        <w:bCs/>
        <w:sz w:val="18"/>
        <w:szCs w:val="18"/>
      </w:rPr>
      <w:t>suburbanland.act.gov.au</w:t>
    </w:r>
  </w:p>
  <w:p w14:paraId="469E4032" w14:textId="3B31A67D" w:rsidR="001A0320" w:rsidRPr="001A0320" w:rsidRDefault="001A0320" w:rsidP="007F3D19">
    <w:pPr>
      <w:pStyle w:val="Footer"/>
      <w:tabs>
        <w:tab w:val="left" w:pos="3686"/>
        <w:tab w:val="left" w:pos="6663"/>
      </w:tabs>
      <w:rPr>
        <w:sz w:val="18"/>
        <w:szCs w:val="18"/>
      </w:rPr>
    </w:pPr>
    <w:r w:rsidRPr="00A852ED">
      <w:rPr>
        <w:b/>
        <w:bCs/>
        <w:sz w:val="18"/>
        <w:szCs w:val="18"/>
      </w:rPr>
      <w:t>GPO Box 158, Canberra ACT 260</w:t>
    </w:r>
    <w:r w:rsidR="00A852ED">
      <w:rPr>
        <w:b/>
        <w:bCs/>
        <w:sz w:val="18"/>
        <w:szCs w:val="18"/>
      </w:rPr>
      <w:t>1</w:t>
    </w:r>
    <w:r w:rsidR="007F3D19">
      <w:rPr>
        <w:b/>
        <w:bCs/>
        <w:sz w:val="18"/>
        <w:szCs w:val="18"/>
      </w:rPr>
      <w:tab/>
    </w:r>
    <w:r w:rsidRPr="00A852ED">
      <w:rPr>
        <w:b/>
        <w:bCs/>
        <w:sz w:val="18"/>
        <w:szCs w:val="18"/>
      </w:rPr>
      <w:t xml:space="preserve">E: </w:t>
    </w:r>
    <w:hyperlink r:id="rId2" w:history="1">
      <w:r w:rsidRPr="00A852ED">
        <w:rPr>
          <w:rStyle w:val="Hyperlink"/>
          <w:b/>
          <w:bCs/>
          <w:sz w:val="18"/>
          <w:szCs w:val="18"/>
        </w:rPr>
        <w:t>suburbanland@act.gov.au</w:t>
      </w:r>
    </w:hyperlink>
    <w:r w:rsidR="007F3D19">
      <w:rPr>
        <w:b/>
        <w:bCs/>
        <w:sz w:val="18"/>
        <w:szCs w:val="18"/>
      </w:rPr>
      <w:tab/>
    </w:r>
    <w:r w:rsidRPr="00A852ED">
      <w:rPr>
        <w:b/>
        <w:bCs/>
        <w:sz w:val="16"/>
        <w:szCs w:val="16"/>
      </w:rPr>
      <w:t xml:space="preserve">ABN: </w:t>
    </w:r>
    <w:r w:rsidR="00646587" w:rsidRPr="00A852ED">
      <w:rPr>
        <w:b/>
        <w:bCs/>
        <w:sz w:val="16"/>
        <w:szCs w:val="16"/>
      </w:rPr>
      <w:t>27 105 505 367</w:t>
    </w:r>
    <w:r>
      <w:rPr>
        <w:sz w:val="18"/>
        <w:szCs w:val="18"/>
      </w:rPr>
      <w:tab/>
    </w:r>
    <w:r w:rsidRPr="001A0320">
      <w:rPr>
        <w:sz w:val="18"/>
        <w:szCs w:val="18"/>
      </w:rPr>
      <w:ptab w:relativeTo="margin" w:alignment="center" w:leader="none"/>
    </w:r>
    <w:r w:rsidRPr="001A032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E3B1" w14:textId="77777777" w:rsidR="001264FB" w:rsidRDefault="001264FB" w:rsidP="00C12F8F">
      <w:pPr>
        <w:spacing w:after="0"/>
      </w:pPr>
      <w:r>
        <w:separator/>
      </w:r>
    </w:p>
  </w:footnote>
  <w:footnote w:type="continuationSeparator" w:id="0">
    <w:p w14:paraId="7E301CED" w14:textId="77777777" w:rsidR="001264FB" w:rsidRDefault="001264FB" w:rsidP="00C12F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DCA3" w14:textId="74B542D5" w:rsidR="00C12F8F" w:rsidRDefault="00174238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0" wp14:anchorId="044EF67A" wp14:editId="00ED2154">
          <wp:simplePos x="0" y="0"/>
          <wp:positionH relativeFrom="column">
            <wp:posOffset>-671195</wp:posOffset>
          </wp:positionH>
          <wp:positionV relativeFrom="page">
            <wp:posOffset>0</wp:posOffset>
          </wp:positionV>
          <wp:extent cx="7552690" cy="179959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60F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6446A"/>
    <w:multiLevelType w:val="hybridMultilevel"/>
    <w:tmpl w:val="D80A8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314C"/>
    <w:multiLevelType w:val="hybridMultilevel"/>
    <w:tmpl w:val="F6D6F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6DC4"/>
    <w:multiLevelType w:val="multilevel"/>
    <w:tmpl w:val="8BEC8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56A25"/>
    <w:multiLevelType w:val="hybridMultilevel"/>
    <w:tmpl w:val="E1BEF662"/>
    <w:lvl w:ilvl="0" w:tplc="E6304B3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85383"/>
    <w:multiLevelType w:val="multilevel"/>
    <w:tmpl w:val="2D1AC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0008376">
    <w:abstractNumId w:val="2"/>
  </w:num>
  <w:num w:numId="2" w16cid:durableId="429007063">
    <w:abstractNumId w:val="4"/>
  </w:num>
  <w:num w:numId="3" w16cid:durableId="264120391">
    <w:abstractNumId w:val="0"/>
  </w:num>
  <w:num w:numId="4" w16cid:durableId="950746779">
    <w:abstractNumId w:val="5"/>
  </w:num>
  <w:num w:numId="5" w16cid:durableId="1872574367">
    <w:abstractNumId w:val="3"/>
  </w:num>
  <w:num w:numId="6" w16cid:durableId="16424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8F"/>
    <w:rsid w:val="00000207"/>
    <w:rsid w:val="000015E0"/>
    <w:rsid w:val="00003588"/>
    <w:rsid w:val="00007280"/>
    <w:rsid w:val="0002212A"/>
    <w:rsid w:val="000257AE"/>
    <w:rsid w:val="00036028"/>
    <w:rsid w:val="000854E4"/>
    <w:rsid w:val="000B280C"/>
    <w:rsid w:val="000B7D77"/>
    <w:rsid w:val="000C020B"/>
    <w:rsid w:val="000C1E0F"/>
    <w:rsid w:val="000C2A6B"/>
    <w:rsid w:val="000C7000"/>
    <w:rsid w:val="000D1742"/>
    <w:rsid w:val="000D74A1"/>
    <w:rsid w:val="000F22F5"/>
    <w:rsid w:val="000F7BED"/>
    <w:rsid w:val="0012523F"/>
    <w:rsid w:val="001264FB"/>
    <w:rsid w:val="001456B7"/>
    <w:rsid w:val="0015219C"/>
    <w:rsid w:val="00154946"/>
    <w:rsid w:val="0015561C"/>
    <w:rsid w:val="00174238"/>
    <w:rsid w:val="001A0320"/>
    <w:rsid w:val="001A5D50"/>
    <w:rsid w:val="001B0F5F"/>
    <w:rsid w:val="001B371A"/>
    <w:rsid w:val="001C2E93"/>
    <w:rsid w:val="0020234F"/>
    <w:rsid w:val="00231097"/>
    <w:rsid w:val="00245171"/>
    <w:rsid w:val="0027400B"/>
    <w:rsid w:val="002932F5"/>
    <w:rsid w:val="002969A6"/>
    <w:rsid w:val="002B3306"/>
    <w:rsid w:val="002B73EF"/>
    <w:rsid w:val="002C49F7"/>
    <w:rsid w:val="002D566E"/>
    <w:rsid w:val="002E53AB"/>
    <w:rsid w:val="002F0D80"/>
    <w:rsid w:val="00346D7E"/>
    <w:rsid w:val="00353BC1"/>
    <w:rsid w:val="003571D1"/>
    <w:rsid w:val="00376619"/>
    <w:rsid w:val="003B3A74"/>
    <w:rsid w:val="003C38BB"/>
    <w:rsid w:val="00421806"/>
    <w:rsid w:val="00424A86"/>
    <w:rsid w:val="0043717C"/>
    <w:rsid w:val="004404E4"/>
    <w:rsid w:val="00453030"/>
    <w:rsid w:val="0046015E"/>
    <w:rsid w:val="0046116B"/>
    <w:rsid w:val="00472EF6"/>
    <w:rsid w:val="00477F46"/>
    <w:rsid w:val="0048024E"/>
    <w:rsid w:val="00480604"/>
    <w:rsid w:val="004A11F9"/>
    <w:rsid w:val="004A71E7"/>
    <w:rsid w:val="004B6112"/>
    <w:rsid w:val="004B6280"/>
    <w:rsid w:val="004C05D9"/>
    <w:rsid w:val="004C6B34"/>
    <w:rsid w:val="004F485B"/>
    <w:rsid w:val="00517E87"/>
    <w:rsid w:val="00520027"/>
    <w:rsid w:val="005239F5"/>
    <w:rsid w:val="005431DE"/>
    <w:rsid w:val="00553ED2"/>
    <w:rsid w:val="0056759D"/>
    <w:rsid w:val="00585E7F"/>
    <w:rsid w:val="005D3B37"/>
    <w:rsid w:val="005D72D5"/>
    <w:rsid w:val="005F72DD"/>
    <w:rsid w:val="00602BEC"/>
    <w:rsid w:val="0061262F"/>
    <w:rsid w:val="00612FD3"/>
    <w:rsid w:val="00623DE4"/>
    <w:rsid w:val="00625319"/>
    <w:rsid w:val="00634B97"/>
    <w:rsid w:val="00646587"/>
    <w:rsid w:val="00662F99"/>
    <w:rsid w:val="0068048D"/>
    <w:rsid w:val="00686527"/>
    <w:rsid w:val="0069172D"/>
    <w:rsid w:val="006973A2"/>
    <w:rsid w:val="006A2D00"/>
    <w:rsid w:val="006A7042"/>
    <w:rsid w:val="006C2CA2"/>
    <w:rsid w:val="007158DD"/>
    <w:rsid w:val="0072289C"/>
    <w:rsid w:val="0072521A"/>
    <w:rsid w:val="00727CC9"/>
    <w:rsid w:val="00753716"/>
    <w:rsid w:val="00763F2C"/>
    <w:rsid w:val="0079753E"/>
    <w:rsid w:val="007C7024"/>
    <w:rsid w:val="007F35FC"/>
    <w:rsid w:val="007F3D19"/>
    <w:rsid w:val="007F5E8E"/>
    <w:rsid w:val="00811671"/>
    <w:rsid w:val="0083396B"/>
    <w:rsid w:val="00842DFD"/>
    <w:rsid w:val="008769B9"/>
    <w:rsid w:val="008A477D"/>
    <w:rsid w:val="008C58AA"/>
    <w:rsid w:val="008D6E0C"/>
    <w:rsid w:val="009228C1"/>
    <w:rsid w:val="009573FA"/>
    <w:rsid w:val="009608B6"/>
    <w:rsid w:val="009667AA"/>
    <w:rsid w:val="00981B11"/>
    <w:rsid w:val="00993C15"/>
    <w:rsid w:val="009D3B3E"/>
    <w:rsid w:val="00A12706"/>
    <w:rsid w:val="00A12F9D"/>
    <w:rsid w:val="00A320D2"/>
    <w:rsid w:val="00A422F2"/>
    <w:rsid w:val="00A43B89"/>
    <w:rsid w:val="00A459AC"/>
    <w:rsid w:val="00A45DC6"/>
    <w:rsid w:val="00A5254E"/>
    <w:rsid w:val="00A8139E"/>
    <w:rsid w:val="00A852ED"/>
    <w:rsid w:val="00A8797F"/>
    <w:rsid w:val="00A91890"/>
    <w:rsid w:val="00A9506B"/>
    <w:rsid w:val="00AA1B32"/>
    <w:rsid w:val="00AA3487"/>
    <w:rsid w:val="00AC0AE7"/>
    <w:rsid w:val="00AE0E79"/>
    <w:rsid w:val="00AE5FF9"/>
    <w:rsid w:val="00B03DED"/>
    <w:rsid w:val="00B14A83"/>
    <w:rsid w:val="00B672CE"/>
    <w:rsid w:val="00B93304"/>
    <w:rsid w:val="00BB48B5"/>
    <w:rsid w:val="00BB51BE"/>
    <w:rsid w:val="00BB5B26"/>
    <w:rsid w:val="00BD6606"/>
    <w:rsid w:val="00BE1CA1"/>
    <w:rsid w:val="00BF0F7A"/>
    <w:rsid w:val="00BF2B93"/>
    <w:rsid w:val="00C01642"/>
    <w:rsid w:val="00C12F8F"/>
    <w:rsid w:val="00C23D99"/>
    <w:rsid w:val="00C44455"/>
    <w:rsid w:val="00C45B37"/>
    <w:rsid w:val="00C72799"/>
    <w:rsid w:val="00CA22BA"/>
    <w:rsid w:val="00CA2778"/>
    <w:rsid w:val="00CB5157"/>
    <w:rsid w:val="00CE317D"/>
    <w:rsid w:val="00CE485B"/>
    <w:rsid w:val="00D14838"/>
    <w:rsid w:val="00D53160"/>
    <w:rsid w:val="00D67A70"/>
    <w:rsid w:val="00D7500C"/>
    <w:rsid w:val="00D962C5"/>
    <w:rsid w:val="00DD1B28"/>
    <w:rsid w:val="00DF3BAA"/>
    <w:rsid w:val="00E062B4"/>
    <w:rsid w:val="00E138EA"/>
    <w:rsid w:val="00E163B6"/>
    <w:rsid w:val="00E339D6"/>
    <w:rsid w:val="00E53104"/>
    <w:rsid w:val="00EA1CB3"/>
    <w:rsid w:val="00EB1265"/>
    <w:rsid w:val="00EC0B5A"/>
    <w:rsid w:val="00ED3C77"/>
    <w:rsid w:val="00F164D5"/>
    <w:rsid w:val="00F73EDA"/>
    <w:rsid w:val="00F85A96"/>
    <w:rsid w:val="00F86700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617D6"/>
  <w15:chartTrackingRefBased/>
  <w15:docId w15:val="{643EE9B6-F005-4E06-82D1-34428B5C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606"/>
    <w:pPr>
      <w:spacing w:after="20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F8F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F8F"/>
  </w:style>
  <w:style w:type="paragraph" w:styleId="Footer">
    <w:name w:val="footer"/>
    <w:basedOn w:val="Normal"/>
    <w:link w:val="FooterChar"/>
    <w:uiPriority w:val="99"/>
    <w:unhideWhenUsed/>
    <w:rsid w:val="00C12F8F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F8F"/>
  </w:style>
  <w:style w:type="character" w:styleId="Hyperlink">
    <w:name w:val="Hyperlink"/>
    <w:basedOn w:val="DefaultParagraphFont"/>
    <w:uiPriority w:val="99"/>
    <w:unhideWhenUsed/>
    <w:rsid w:val="001A0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3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1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E0F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0F"/>
    <w:rPr>
      <w:rFonts w:ascii="Cambria" w:eastAsia="Times New Roman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1E0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AE7"/>
    <w:pPr>
      <w:spacing w:after="0"/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CE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CE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5431DE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rsid w:val="002969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urbanland@act.gov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Phanprachit, Lynda</dc:creator>
  <cp:keywords/>
  <dc:description/>
  <cp:lastModifiedBy>Bejrova, Eliska</cp:lastModifiedBy>
  <cp:revision>2</cp:revision>
  <cp:lastPrinted>2022-05-27T01:07:00Z</cp:lastPrinted>
  <dcterms:created xsi:type="dcterms:W3CDTF">2023-10-24T04:10:00Z</dcterms:created>
  <dcterms:modified xsi:type="dcterms:W3CDTF">2023-10-24T04:10:00Z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-100647848</vt:i4>
  </property>
  <property fmtid="{D5CDD505-2E9C-101B-9397-08002B2CF9AE}" pid="3" name="Objective-Id">
    <vt:lpwstr>A42427029</vt:lpwstr>
  </property>
  <property fmtid="{D5CDD505-2E9C-101B-9397-08002B2CF9AE}" pid="4" name="Objective-Title">
    <vt:lpwstr>GTC Section 228 Block 1 - Resident letter - Final</vt:lpwstr>
  </property>
  <property fmtid="{D5CDD505-2E9C-101B-9397-08002B2CF9AE}" pid="5" name="Objective-Comment">
    <vt:lpwstr/>
  </property>
  <property fmtid="{D5CDD505-2E9C-101B-9397-08002B2CF9AE}" pid="6" name="Objective-CreationStamp">
    <vt:filetime>2023-06-19T02:40:42Z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2023-06-19T03:37:06Z</vt:filetime>
  </property>
  <property fmtid="{D5CDD505-2E9C-101B-9397-08002B2CF9AE}" pid="11" name="Objective-Owner">
    <vt:lpwstr>Vivek Anand</vt:lpwstr>
  </property>
  <property fmtid="{D5CDD505-2E9C-101B-9397-08002B2CF9AE}" pid="12" name="Objective-Path">
    <vt:lpwstr>Whole of ACT Government:SLA - Suburban Land Agency:07. Media, Marketing and Communications:14. Engagement:02. ENGAGEMENT PROJECTS:Gungahlin Area:1/228:</vt:lpwstr>
  </property>
  <property fmtid="{D5CDD505-2E9C-101B-9397-08002B2CF9AE}" pid="13" name="Objective-Parent">
    <vt:lpwstr>1/228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SLA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