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3077" w14:textId="77777777" w:rsidR="00311E78" w:rsidRPr="00E94769" w:rsidRDefault="00311E78" w:rsidP="00745525">
      <w:pPr>
        <w:pStyle w:val="Heading2"/>
        <w:rPr>
          <w:bCs/>
          <w:caps w:val="0"/>
          <w:color w:val="auto"/>
          <w:sz w:val="21"/>
          <w:szCs w:val="21"/>
        </w:rPr>
      </w:pPr>
    </w:p>
    <w:sdt>
      <w:sdtPr>
        <w:rPr>
          <w:bCs/>
          <w:caps w:val="0"/>
          <w:color w:val="auto"/>
          <w:sz w:val="21"/>
          <w:szCs w:val="21"/>
        </w:rPr>
        <w:id w:val="440470352"/>
        <w:docPartObj>
          <w:docPartGallery w:val="Cover Pages"/>
          <w:docPartUnique/>
        </w:docPartObj>
      </w:sdtPr>
      <w:sdtEndPr>
        <w:rPr>
          <w:rFonts w:eastAsia="Times New Roman"/>
          <w:bCs w:val="0"/>
          <w:noProof/>
          <w:color w:val="482D8C" w:themeColor="background2"/>
          <w:sz w:val="36"/>
          <w:szCs w:val="40"/>
        </w:rPr>
      </w:sdtEndPr>
      <w:sdtContent>
        <w:p w14:paraId="26E23078" w14:textId="000D757F" w:rsidR="00F875BD" w:rsidRPr="00E94769" w:rsidRDefault="00E1142D" w:rsidP="00745525">
          <w:pPr>
            <w:pStyle w:val="Heading2"/>
          </w:pPr>
          <w:r w:rsidRPr="00E94769">
            <w:rPr>
              <w:noProof/>
            </w:rPr>
            <w:drawing>
              <wp:anchor distT="0" distB="0" distL="114300" distR="114300" simplePos="0" relativeHeight="251661312" behindDoc="1" locked="1" layoutInCell="1" allowOverlap="0" wp14:anchorId="26E230D5" wp14:editId="3F0BA460">
                <wp:simplePos x="0" y="0"/>
                <wp:positionH relativeFrom="margin">
                  <wp:posOffset>3703320</wp:posOffset>
                </wp:positionH>
                <wp:positionV relativeFrom="margin">
                  <wp:posOffset>419735</wp:posOffset>
                </wp:positionV>
                <wp:extent cx="2980690" cy="2679700"/>
                <wp:effectExtent l="0" t="0" r="0" b="6350"/>
                <wp:wrapSquare wrapText="bothSides"/>
                <wp:docPr id="1"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980690" cy="267970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005C77AE" w:rsidRPr="005C77AE">
            <w:t>DELIVERING CRIMINAL JUSTICE REFORMS RECOMMENDED BY THE ROYAL COMMISSION INTO INSTITUTIONAL RESPONSES TO CHILD SEXUAL ABUSE</w:t>
          </w:r>
          <w:r w:rsidR="00AA5DD1" w:rsidRPr="00E94769">
            <w:t xml:space="preserve"> </w:t>
          </w:r>
        </w:p>
        <w:p w14:paraId="26E2307A" w14:textId="51F54F70" w:rsidR="003C0F24" w:rsidRPr="00E94769" w:rsidRDefault="005C77AE" w:rsidP="00745525">
          <w:pPr>
            <w:pStyle w:val="bodytextreverse"/>
            <w:sectPr w:rsidR="003C0F24" w:rsidRPr="00E94769" w:rsidSect="00311E78">
              <w:headerReference w:type="default" r:id="rId12"/>
              <w:footerReference w:type="default" r:id="rId13"/>
              <w:headerReference w:type="first" r:id="rId14"/>
              <w:footerReference w:type="first" r:id="rId15"/>
              <w:type w:val="continuous"/>
              <w:pgSz w:w="11906" w:h="16838" w:code="9"/>
              <w:pgMar w:top="2694" w:right="707" w:bottom="1701" w:left="851" w:header="709" w:footer="709" w:gutter="0"/>
              <w:cols w:space="282"/>
              <w:docGrid w:linePitch="360"/>
            </w:sectPr>
          </w:pPr>
          <w:r w:rsidRPr="005C77AE">
            <w:rPr>
              <w:b/>
              <w:noProof w:val="0"/>
              <w:color w:val="482D8C" w:themeColor="background2"/>
            </w:rPr>
            <w:t>Implementing the Royal Commission’s reforms will lead to a criminal justice system that is fairer to all, more accessible for victims and survivors, and more supportive of complainants.</w:t>
          </w:r>
        </w:p>
        <w:p w14:paraId="5439C2E6" w14:textId="77777777" w:rsidR="005C77AE" w:rsidRDefault="005C77AE" w:rsidP="005C77AE">
          <w:pPr>
            <w:pStyle w:val="bodytextreverse"/>
            <w:rPr>
              <w:noProof w:val="0"/>
            </w:rPr>
          </w:pPr>
          <w:r>
            <w:rPr>
              <w:noProof w:val="0"/>
            </w:rPr>
            <w:t>The Royal Commission into Institutional Responses to Child Sexual Abuse (the Royal Commission) was established in response to allegations of sexual abuse of children in institutional contexts that had been emerging in Australia for many years. Over the course of its enquiry, the Royal Commission was contacted by over 16,000 individuals, heard personal stories from over 8,000 people, and received over 1,000 written accounts from survivors. In addition, it held public hearings, roundtables, and conducted extensive policy and research work. The Royal Commission released its Criminal Justice Report in August 2017, and its Final Report in December 2017.</w:t>
          </w:r>
        </w:p>
        <w:p w14:paraId="26E2307D" w14:textId="46F6C733" w:rsidR="0062733A" w:rsidRPr="00E94769" w:rsidRDefault="005C77AE" w:rsidP="005C77AE">
          <w:pPr>
            <w:pStyle w:val="bodytextreverse"/>
          </w:pPr>
          <w:r>
            <w:rPr>
              <w:noProof w:val="0"/>
            </w:rPr>
            <w:t>In responding to the Royal Commission, the ACT Government has committed to addressing every single one of its recommendations.</w:t>
          </w:r>
        </w:p>
        <w:p w14:paraId="26E2307E" w14:textId="77777777" w:rsidR="003B0D48" w:rsidRPr="00E94769" w:rsidRDefault="003B0D48" w:rsidP="00745525">
          <w:pPr>
            <w:pStyle w:val="Heading2"/>
          </w:pPr>
          <w:r w:rsidRPr="00E94769">
            <w:t xml:space="preserve">THE </w:t>
          </w:r>
          <w:r w:rsidRPr="00E94769">
            <w:rPr>
              <w:rStyle w:val="Heading2Char"/>
              <w:caps/>
            </w:rPr>
            <w:t>CONVERSATION</w:t>
          </w:r>
        </w:p>
        <w:p w14:paraId="02D414E6" w14:textId="77777777" w:rsidR="005C77AE" w:rsidRDefault="005C77AE" w:rsidP="005C77AE">
          <w:pPr>
            <w:pStyle w:val="bodytextreverse"/>
            <w:rPr>
              <w:b/>
              <w:noProof w:val="0"/>
              <w:color w:val="482D8C" w:themeColor="background2"/>
            </w:rPr>
          </w:pPr>
          <w:r w:rsidRPr="005C77AE">
            <w:rPr>
              <w:b/>
              <w:noProof w:val="0"/>
              <w:color w:val="482D8C" w:themeColor="background2"/>
            </w:rPr>
            <w:t>We held a conversation online, face to face and directly with stakeholders from 22 March to 4 May 2018.</w:t>
          </w:r>
        </w:p>
        <w:p w14:paraId="26E23081" w14:textId="1D32716E" w:rsidR="003B0D48" w:rsidRPr="005C77AE" w:rsidRDefault="005C77AE" w:rsidP="005C77AE">
          <w:pPr>
            <w:pStyle w:val="bodytextreverse"/>
            <w:rPr>
              <w:noProof w:val="0"/>
            </w:rPr>
          </w:pPr>
          <w:r w:rsidRPr="005C77AE">
            <w:rPr>
              <w:noProof w:val="0"/>
            </w:rPr>
            <w:t xml:space="preserve">We wanted to hear feedback from stakeholders about implementing the criminal justice recommendations in the specific legal and social context of the ACT. </w:t>
          </w:r>
        </w:p>
        <w:p w14:paraId="26E23082" w14:textId="77777777" w:rsidR="00AA5DD1" w:rsidRPr="00E94769" w:rsidRDefault="00DE2D59" w:rsidP="0062733A">
          <w:pPr>
            <w:pStyle w:val="Heading2"/>
          </w:pPr>
          <w:r w:rsidRPr="00E94769">
            <w:t xml:space="preserve">WHO ENGAGED </w:t>
          </w:r>
        </w:p>
        <w:p w14:paraId="26E23083" w14:textId="1DF451C2" w:rsidR="00AA5DD1" w:rsidRPr="00E94769" w:rsidRDefault="005C77AE" w:rsidP="005C344B">
          <w:pPr>
            <w:pStyle w:val="HighlightedBodyText"/>
            <w:rPr>
              <w:noProof w:val="0"/>
            </w:rPr>
          </w:pPr>
          <w:r w:rsidRPr="005C77AE">
            <w:rPr>
              <w:noProof w:val="0"/>
            </w:rPr>
            <w:t>We heard from organisations that support survivors, friends and family members of survivors, key stakeholders in the justice system, religious organisations, and general members of the public.</w:t>
          </w:r>
        </w:p>
        <w:p w14:paraId="26E23087" w14:textId="77777777" w:rsidR="00311E78" w:rsidRPr="00E94769" w:rsidRDefault="00311E78" w:rsidP="00311E78">
          <w:pPr>
            <w:pStyle w:val="bodytextreverse"/>
            <w:tabs>
              <w:tab w:val="left" w:pos="1584"/>
            </w:tabs>
            <w:rPr>
              <w:rFonts w:ascii="Montserrat" w:hAnsi="Montserrat"/>
            </w:rPr>
            <w:sectPr w:rsidR="00311E78" w:rsidRPr="00E94769" w:rsidSect="00311E78">
              <w:type w:val="continuous"/>
              <w:pgSz w:w="11906" w:h="16838" w:code="9"/>
              <w:pgMar w:top="3426" w:right="707" w:bottom="1701" w:left="851" w:header="709" w:footer="709" w:gutter="0"/>
              <w:cols w:space="282"/>
              <w:titlePg/>
              <w:docGrid w:linePitch="360"/>
            </w:sectPr>
          </w:pPr>
        </w:p>
        <w:tbl>
          <w:tblPr>
            <w:tblStyle w:val="ColorfulList-Accent5"/>
            <w:tblW w:w="0" w:type="auto"/>
            <w:tblLook w:val="04A0" w:firstRow="1" w:lastRow="0" w:firstColumn="1" w:lastColumn="0" w:noHBand="0" w:noVBand="1"/>
          </w:tblPr>
          <w:tblGrid>
            <w:gridCol w:w="10348"/>
          </w:tblGrid>
          <w:tr w:rsidR="00AA5DD1" w:rsidRPr="00E94769" w14:paraId="26E23089" w14:textId="77777777" w:rsidTr="00032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vAlign w:val="top"/>
              </w:tcPr>
              <w:p w14:paraId="26E23088" w14:textId="77777777" w:rsidR="00AA5DD1" w:rsidRPr="00E94769" w:rsidRDefault="00AA5DD1" w:rsidP="00BA103B">
                <w:pPr>
                  <w:pStyle w:val="Tableheadbold"/>
                </w:pPr>
                <w:r w:rsidRPr="00E94769">
                  <w:lastRenderedPageBreak/>
                  <w:t xml:space="preserve">Key insights from the community  </w:t>
                </w:r>
              </w:p>
            </w:tc>
          </w:tr>
          <w:tr w:rsidR="00AA5DD1" w:rsidRPr="00E94769" w14:paraId="26E2308E" w14:textId="77777777" w:rsidTr="00032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vAlign w:val="top"/>
              </w:tcPr>
              <w:p w14:paraId="3C050116" w14:textId="77777777" w:rsidR="005C77AE" w:rsidRPr="005C77AE" w:rsidRDefault="005C77AE" w:rsidP="005C77AE">
                <w:pPr>
                  <w:pStyle w:val="bodytextreverse"/>
                  <w:rPr>
                    <w:b w:val="0"/>
                    <w:noProof w:val="0"/>
                    <w:color w:val="auto"/>
                    <w:sz w:val="20"/>
                    <w:szCs w:val="20"/>
                  </w:rPr>
                </w:pPr>
                <w:r w:rsidRPr="005C77AE">
                  <w:rPr>
                    <w:noProof w:val="0"/>
                    <w:color w:val="auto"/>
                  </w:rPr>
                  <w:t>Failure to report laws</w:t>
                </w:r>
              </w:p>
              <w:p w14:paraId="0A04EEFC" w14:textId="77777777" w:rsidR="005C77AE" w:rsidRDefault="005C77AE" w:rsidP="005C77AE">
                <w:pPr>
                  <w:pStyle w:val="bodytextreverse"/>
                  <w:numPr>
                    <w:ilvl w:val="0"/>
                    <w:numId w:val="32"/>
                  </w:numPr>
                  <w:ind w:left="318" w:hanging="284"/>
                  <w:rPr>
                    <w:b w:val="0"/>
                    <w:noProof w:val="0"/>
                    <w:color w:val="auto"/>
                    <w:sz w:val="20"/>
                    <w:szCs w:val="20"/>
                  </w:rPr>
                </w:pPr>
                <w:r w:rsidRPr="005C77AE">
                  <w:rPr>
                    <w:b w:val="0"/>
                    <w:noProof w:val="0"/>
                    <w:color w:val="auto"/>
                    <w:sz w:val="20"/>
                    <w:szCs w:val="20"/>
                  </w:rPr>
                  <w:t xml:space="preserve">There was strong support for introducing a new offence for failing to report child sexual abuse. </w:t>
                </w:r>
              </w:p>
              <w:p w14:paraId="0E4E4918" w14:textId="77777777" w:rsidR="005C77AE" w:rsidRDefault="005C77AE" w:rsidP="005C77AE">
                <w:pPr>
                  <w:pStyle w:val="bodytextreverse"/>
                  <w:numPr>
                    <w:ilvl w:val="0"/>
                    <w:numId w:val="32"/>
                  </w:numPr>
                  <w:ind w:left="318" w:hanging="284"/>
                  <w:rPr>
                    <w:b w:val="0"/>
                    <w:noProof w:val="0"/>
                    <w:color w:val="auto"/>
                    <w:sz w:val="20"/>
                    <w:szCs w:val="20"/>
                  </w:rPr>
                </w:pPr>
                <w:r w:rsidRPr="005C77AE">
                  <w:rPr>
                    <w:b w:val="0"/>
                    <w:noProof w:val="0"/>
                    <w:color w:val="auto"/>
                    <w:sz w:val="20"/>
                    <w:szCs w:val="20"/>
                  </w:rPr>
                  <w:t xml:space="preserve">Some stakeholders also supported those laws applying to the physical abuse of children. </w:t>
                </w:r>
              </w:p>
              <w:p w14:paraId="26E2308D" w14:textId="73EAE8CA" w:rsidR="00AA5DD1" w:rsidRPr="005C77AE" w:rsidRDefault="005C77AE" w:rsidP="005C77AE">
                <w:pPr>
                  <w:pStyle w:val="bodytextreverse"/>
                  <w:numPr>
                    <w:ilvl w:val="0"/>
                    <w:numId w:val="32"/>
                  </w:numPr>
                  <w:ind w:left="318" w:hanging="284"/>
                  <w:rPr>
                    <w:b w:val="0"/>
                    <w:noProof w:val="0"/>
                    <w:color w:val="auto"/>
                    <w:sz w:val="20"/>
                    <w:szCs w:val="20"/>
                  </w:rPr>
                </w:pPr>
                <w:r w:rsidRPr="005C77AE">
                  <w:rPr>
                    <w:b w:val="0"/>
                    <w:noProof w:val="0"/>
                    <w:color w:val="auto"/>
                    <w:sz w:val="20"/>
                    <w:szCs w:val="20"/>
                  </w:rPr>
                  <w:t xml:space="preserve">However, </w:t>
                </w:r>
                <w:proofErr w:type="gramStart"/>
                <w:r w:rsidRPr="005C77AE">
                  <w:rPr>
                    <w:b w:val="0"/>
                    <w:noProof w:val="0"/>
                    <w:color w:val="auto"/>
                    <w:sz w:val="20"/>
                    <w:szCs w:val="20"/>
                  </w:rPr>
                  <w:t>a number of</w:t>
                </w:r>
                <w:proofErr w:type="gramEnd"/>
                <w:r w:rsidRPr="005C77AE">
                  <w:rPr>
                    <w:b w:val="0"/>
                    <w:noProof w:val="0"/>
                    <w:color w:val="auto"/>
                    <w:sz w:val="20"/>
                    <w:szCs w:val="20"/>
                  </w:rPr>
                  <w:t xml:space="preserve"> stakeholders expressed concerns that the laws could result in overreporting and that it would be important for the new offence to guard against this.</w:t>
                </w:r>
              </w:p>
            </w:tc>
          </w:tr>
          <w:tr w:rsidR="00AA5DD1" w:rsidRPr="00E94769" w14:paraId="26E23092" w14:textId="77777777" w:rsidTr="00032E21">
            <w:tc>
              <w:tcPr>
                <w:cnfStyle w:val="001000000000" w:firstRow="0" w:lastRow="0" w:firstColumn="1" w:lastColumn="0" w:oddVBand="0" w:evenVBand="0" w:oddHBand="0" w:evenHBand="0" w:firstRowFirstColumn="0" w:firstRowLastColumn="0" w:lastRowFirstColumn="0" w:lastRowLastColumn="0"/>
                <w:tcW w:w="10348" w:type="dxa"/>
                <w:vAlign w:val="top"/>
              </w:tcPr>
              <w:p w14:paraId="15AA2111" w14:textId="77777777" w:rsidR="005C77AE" w:rsidRPr="005C77AE" w:rsidRDefault="005C77AE" w:rsidP="005C77AE">
                <w:pPr>
                  <w:pStyle w:val="bodytextreverse"/>
                  <w:rPr>
                    <w:rFonts w:cs="Cambria Math"/>
                    <w:b w:val="0"/>
                    <w:noProof w:val="0"/>
                    <w:color w:val="auto"/>
                    <w:sz w:val="20"/>
                    <w:szCs w:val="20"/>
                  </w:rPr>
                </w:pPr>
                <w:r w:rsidRPr="005C77AE">
                  <w:rPr>
                    <w:noProof w:val="0"/>
                    <w:color w:val="auto"/>
                  </w:rPr>
                  <w:t>Failure to protect laws</w:t>
                </w:r>
              </w:p>
              <w:p w14:paraId="6699AF06" w14:textId="77777777" w:rsidR="005C77AE" w:rsidRDefault="005C77AE" w:rsidP="005C77AE">
                <w:pPr>
                  <w:pStyle w:val="bodytextreverse"/>
                  <w:numPr>
                    <w:ilvl w:val="0"/>
                    <w:numId w:val="32"/>
                  </w:numPr>
                  <w:ind w:left="318" w:hanging="284"/>
                  <w:rPr>
                    <w:rFonts w:cs="Cambria Math"/>
                    <w:b w:val="0"/>
                    <w:noProof w:val="0"/>
                    <w:color w:val="auto"/>
                    <w:sz w:val="20"/>
                    <w:szCs w:val="20"/>
                  </w:rPr>
                </w:pPr>
                <w:r w:rsidRPr="005C77AE">
                  <w:rPr>
                    <w:rFonts w:cs="Cambria Math"/>
                    <w:b w:val="0"/>
                    <w:noProof w:val="0"/>
                    <w:color w:val="auto"/>
                    <w:sz w:val="20"/>
                    <w:szCs w:val="20"/>
                  </w:rPr>
                  <w:t xml:space="preserve">There was general agreement that adults in a position of authority have a duty to protect children from sexual abuse and our laws should reflect this. </w:t>
                </w:r>
              </w:p>
              <w:p w14:paraId="26E23091" w14:textId="22BC3AAA" w:rsidR="00AA5DD1" w:rsidRPr="00E94769" w:rsidRDefault="005C77AE" w:rsidP="005C77AE">
                <w:pPr>
                  <w:pStyle w:val="bodytextreverse"/>
                  <w:numPr>
                    <w:ilvl w:val="0"/>
                    <w:numId w:val="32"/>
                  </w:numPr>
                  <w:ind w:left="318" w:hanging="284"/>
                  <w:rPr>
                    <w:rFonts w:cs="Cambria Math"/>
                    <w:b w:val="0"/>
                    <w:noProof w:val="0"/>
                    <w:color w:val="auto"/>
                    <w:sz w:val="20"/>
                    <w:szCs w:val="20"/>
                  </w:rPr>
                </w:pPr>
                <w:r w:rsidRPr="005C77AE">
                  <w:rPr>
                    <w:rFonts w:cs="Cambria Math"/>
                    <w:b w:val="0"/>
                    <w:noProof w:val="0"/>
                    <w:color w:val="auto"/>
                    <w:sz w:val="20"/>
                    <w:szCs w:val="20"/>
                  </w:rPr>
                  <w:t>Some people emphasised the importance of the new laws being simple so that small organisations can easily comply</w:t>
                </w:r>
                <w:r>
                  <w:rPr>
                    <w:rFonts w:cs="Cambria Math"/>
                    <w:b w:val="0"/>
                    <w:noProof w:val="0"/>
                    <w:color w:val="auto"/>
                    <w:sz w:val="20"/>
                    <w:szCs w:val="20"/>
                  </w:rPr>
                  <w:t>.</w:t>
                </w:r>
              </w:p>
            </w:tc>
          </w:tr>
          <w:tr w:rsidR="00AA5DD1" w:rsidRPr="00E94769" w14:paraId="26E23096" w14:textId="77777777" w:rsidTr="00032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vAlign w:val="top"/>
              </w:tcPr>
              <w:p w14:paraId="26E23093" w14:textId="53875795" w:rsidR="00AA5DD1" w:rsidRPr="00E94769" w:rsidRDefault="005C77AE" w:rsidP="00AA5DD1">
                <w:pPr>
                  <w:pStyle w:val="bodytextreverse"/>
                  <w:rPr>
                    <w:noProof w:val="0"/>
                    <w:color w:val="auto"/>
                  </w:rPr>
                </w:pPr>
                <w:r w:rsidRPr="005C77AE">
                  <w:rPr>
                    <w:noProof w:val="0"/>
                    <w:color w:val="auto"/>
                  </w:rPr>
                  <w:t>The way vulnerable witnesses give evidence</w:t>
                </w:r>
              </w:p>
              <w:p w14:paraId="26E23095" w14:textId="4E158930" w:rsidR="003D2C5E" w:rsidRPr="00E94769" w:rsidRDefault="005C77AE" w:rsidP="00AA5DD1">
                <w:pPr>
                  <w:pStyle w:val="bodytextreverse"/>
                  <w:numPr>
                    <w:ilvl w:val="0"/>
                    <w:numId w:val="32"/>
                  </w:numPr>
                  <w:ind w:left="318" w:hanging="284"/>
                  <w:rPr>
                    <w:b w:val="0"/>
                    <w:noProof w:val="0"/>
                    <w:color w:val="auto"/>
                    <w:sz w:val="20"/>
                    <w:szCs w:val="20"/>
                  </w:rPr>
                </w:pPr>
                <w:r w:rsidRPr="005C77AE">
                  <w:rPr>
                    <w:b w:val="0"/>
                    <w:noProof w:val="0"/>
                    <w:color w:val="auto"/>
                    <w:sz w:val="20"/>
                    <w:szCs w:val="20"/>
                  </w:rPr>
                  <w:t>Stakeholders supported increasing special measures to assist vulnerable witnesses giving evidence in court, while also emphasising the importance of still ensuring a fair trial for the victim and accused.</w:t>
                </w:r>
              </w:p>
            </w:tc>
          </w:tr>
          <w:tr w:rsidR="00AA5DD1" w:rsidRPr="00E94769" w14:paraId="26E2309A" w14:textId="77777777" w:rsidTr="00032E21">
            <w:tc>
              <w:tcPr>
                <w:cnfStyle w:val="001000000000" w:firstRow="0" w:lastRow="0" w:firstColumn="1" w:lastColumn="0" w:oddVBand="0" w:evenVBand="0" w:oddHBand="0" w:evenHBand="0" w:firstRowFirstColumn="0" w:firstRowLastColumn="0" w:lastRowFirstColumn="0" w:lastRowLastColumn="0"/>
                <w:tcW w:w="10348" w:type="dxa"/>
                <w:vAlign w:val="top"/>
              </w:tcPr>
              <w:p w14:paraId="2541D996" w14:textId="77777777" w:rsidR="005C77AE" w:rsidRDefault="005C77AE" w:rsidP="005C77AE">
                <w:pPr>
                  <w:pStyle w:val="bodytextreverse"/>
                  <w:rPr>
                    <w:noProof w:val="0"/>
                    <w:color w:val="auto"/>
                  </w:rPr>
                </w:pPr>
                <w:r w:rsidRPr="005C77AE">
                  <w:rPr>
                    <w:noProof w:val="0"/>
                    <w:color w:val="auto"/>
                  </w:rPr>
                  <w:t>An intermediary scheme</w:t>
                </w:r>
              </w:p>
              <w:p w14:paraId="75671DC9" w14:textId="77777777" w:rsidR="005C77AE" w:rsidRDefault="005C77AE" w:rsidP="005A2C39">
                <w:pPr>
                  <w:pStyle w:val="bodytextreverse"/>
                  <w:numPr>
                    <w:ilvl w:val="0"/>
                    <w:numId w:val="32"/>
                  </w:numPr>
                  <w:ind w:left="318" w:hanging="284"/>
                  <w:rPr>
                    <w:b w:val="0"/>
                    <w:noProof w:val="0"/>
                    <w:color w:val="auto"/>
                    <w:sz w:val="20"/>
                    <w:szCs w:val="20"/>
                  </w:rPr>
                </w:pPr>
                <w:r w:rsidRPr="005C77AE">
                  <w:rPr>
                    <w:b w:val="0"/>
                    <w:noProof w:val="0"/>
                    <w:color w:val="auto"/>
                    <w:sz w:val="20"/>
                    <w:szCs w:val="20"/>
                  </w:rPr>
                  <w:t xml:space="preserve">There was overwhelming support for an intermediary scheme being implemented in the ACT. </w:t>
                </w:r>
              </w:p>
              <w:p w14:paraId="26E23099" w14:textId="5179274C" w:rsidR="005A2C39" w:rsidRPr="00E94769" w:rsidRDefault="005C77AE" w:rsidP="005C77AE">
                <w:pPr>
                  <w:pStyle w:val="bodytextreverse"/>
                  <w:numPr>
                    <w:ilvl w:val="0"/>
                    <w:numId w:val="32"/>
                  </w:numPr>
                  <w:ind w:left="318" w:hanging="284"/>
                  <w:rPr>
                    <w:b w:val="0"/>
                    <w:noProof w:val="0"/>
                    <w:color w:val="auto"/>
                    <w:sz w:val="20"/>
                    <w:szCs w:val="20"/>
                  </w:rPr>
                </w:pPr>
                <w:proofErr w:type="gramStart"/>
                <w:r w:rsidRPr="005C77AE">
                  <w:rPr>
                    <w:b w:val="0"/>
                    <w:noProof w:val="0"/>
                    <w:color w:val="auto"/>
                    <w:sz w:val="20"/>
                    <w:szCs w:val="20"/>
                  </w:rPr>
                  <w:t>However</w:t>
                </w:r>
                <w:proofErr w:type="gramEnd"/>
                <w:r w:rsidRPr="005C77AE">
                  <w:rPr>
                    <w:b w:val="0"/>
                    <w:noProof w:val="0"/>
                    <w:color w:val="auto"/>
                    <w:sz w:val="20"/>
                    <w:szCs w:val="20"/>
                  </w:rPr>
                  <w:t xml:space="preserve"> stakeholders had varying views about what the role of the intermediary should be, and who should have access to an intermediary.</w:t>
                </w:r>
                <w:r w:rsidR="003D2C5E" w:rsidRPr="00E94769">
                  <w:rPr>
                    <w:b w:val="0"/>
                    <w:noProof w:val="0"/>
                    <w:color w:val="auto"/>
                  </w:rPr>
                  <w:t xml:space="preserve"> </w:t>
                </w:r>
              </w:p>
            </w:tc>
          </w:tr>
          <w:tr w:rsidR="00AA5DD1" w:rsidRPr="00E94769" w14:paraId="26E2309D" w14:textId="77777777" w:rsidTr="00032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vAlign w:val="top"/>
              </w:tcPr>
              <w:p w14:paraId="26E2309B" w14:textId="4AEA35AE" w:rsidR="00AA5DD1" w:rsidRPr="00E94769" w:rsidRDefault="005C77AE" w:rsidP="00AA5DD1">
                <w:pPr>
                  <w:pStyle w:val="bodytextreverse"/>
                  <w:rPr>
                    <w:noProof w:val="0"/>
                    <w:color w:val="auto"/>
                  </w:rPr>
                </w:pPr>
                <w:r w:rsidRPr="005C77AE">
                  <w:rPr>
                    <w:noProof w:val="0"/>
                    <w:color w:val="auto"/>
                  </w:rPr>
                  <w:t>Other reforms to trial and sentencing procedures for sexual offences</w:t>
                </w:r>
              </w:p>
              <w:p w14:paraId="26E2309C" w14:textId="27BA806E" w:rsidR="00AA5DD1" w:rsidRPr="00E94769" w:rsidRDefault="005C77AE" w:rsidP="005C77AE">
                <w:pPr>
                  <w:pStyle w:val="bodytextreverse"/>
                  <w:numPr>
                    <w:ilvl w:val="0"/>
                    <w:numId w:val="32"/>
                  </w:numPr>
                  <w:ind w:left="318" w:hanging="284"/>
                  <w:rPr>
                    <w:noProof w:val="0"/>
                    <w:color w:val="auto"/>
                    <w:sz w:val="20"/>
                    <w:szCs w:val="20"/>
                  </w:rPr>
                </w:pPr>
                <w:r w:rsidRPr="005C77AE">
                  <w:rPr>
                    <w:b w:val="0"/>
                    <w:noProof w:val="0"/>
                    <w:color w:val="auto"/>
                    <w:sz w:val="20"/>
                    <w:szCs w:val="20"/>
                  </w:rPr>
                  <w:t>Other reforms to sentencing and trial procedures were supported by survivor groups, however members of the legal profession expressed concerns around implementing reforms to some long-standing legal principles, such as</w:t>
                </w:r>
                <w:r w:rsidR="002B1406">
                  <w:rPr>
                    <w:b w:val="0"/>
                    <w:noProof w:val="0"/>
                    <w:color w:val="auto"/>
                    <w:sz w:val="20"/>
                    <w:szCs w:val="20"/>
                  </w:rPr>
                  <w:t xml:space="preserve"> the admissibility of</w:t>
                </w:r>
                <w:r w:rsidRPr="005C77AE">
                  <w:rPr>
                    <w:b w:val="0"/>
                    <w:noProof w:val="0"/>
                    <w:color w:val="auto"/>
                    <w:sz w:val="20"/>
                    <w:szCs w:val="20"/>
                  </w:rPr>
                  <w:t xml:space="preserve"> tendency and coincidence</w:t>
                </w:r>
                <w:r w:rsidR="002B1406">
                  <w:rPr>
                    <w:b w:val="0"/>
                    <w:noProof w:val="0"/>
                    <w:color w:val="auto"/>
                    <w:sz w:val="20"/>
                    <w:szCs w:val="20"/>
                  </w:rPr>
                  <w:t xml:space="preserve"> evidence</w:t>
                </w:r>
                <w:r w:rsidRPr="005C77AE">
                  <w:rPr>
                    <w:b w:val="0"/>
                    <w:noProof w:val="0"/>
                    <w:color w:val="auto"/>
                    <w:sz w:val="20"/>
                    <w:szCs w:val="20"/>
                  </w:rPr>
                  <w:t xml:space="preserve"> and reforming judicial directions. </w:t>
                </w:r>
              </w:p>
            </w:tc>
          </w:tr>
        </w:tbl>
        <w:p w14:paraId="26E2309F" w14:textId="77777777" w:rsidR="003D2C5E" w:rsidRPr="00E94769" w:rsidRDefault="003D2C5E" w:rsidP="00745525">
          <w:pPr>
            <w:pStyle w:val="Heading2"/>
          </w:pPr>
          <w:r w:rsidRPr="00E94769">
            <w:t>What’s Next?</w:t>
          </w:r>
        </w:p>
        <w:p w14:paraId="43DE8572" w14:textId="2990C3B8" w:rsidR="000539DD" w:rsidRDefault="005C77AE" w:rsidP="005C77AE">
          <w:pPr>
            <w:pStyle w:val="bodytextreverse"/>
            <w:rPr>
              <w:b/>
              <w:noProof w:val="0"/>
              <w:color w:val="482D8C" w:themeColor="background2"/>
            </w:rPr>
          </w:pPr>
          <w:r w:rsidRPr="005C77AE">
            <w:rPr>
              <w:b/>
              <w:noProof w:val="0"/>
              <w:color w:val="482D8C" w:themeColor="background2"/>
            </w:rPr>
            <w:t>The ACT Government passed legislation in December 2018 implementing many of these reforms</w:t>
          </w:r>
          <w:r w:rsidR="000539DD">
            <w:rPr>
              <w:b/>
              <w:noProof w:val="0"/>
              <w:color w:val="482D8C" w:themeColor="background2"/>
            </w:rPr>
            <w:t>.</w:t>
          </w:r>
        </w:p>
        <w:p w14:paraId="27403B25" w14:textId="288C7BD4" w:rsidR="005C77AE" w:rsidRPr="000539DD" w:rsidRDefault="000539DD" w:rsidP="000539DD">
          <w:pPr>
            <w:pStyle w:val="bodytextreverse"/>
            <w:spacing w:after="0"/>
            <w:rPr>
              <w:noProof w:val="0"/>
            </w:rPr>
          </w:pPr>
          <w:r w:rsidRPr="000539DD">
            <w:rPr>
              <w:noProof w:val="0"/>
            </w:rPr>
            <w:t xml:space="preserve">This </w:t>
          </w:r>
          <w:r w:rsidR="005C77AE" w:rsidRPr="000539DD">
            <w:rPr>
              <w:noProof w:val="0"/>
            </w:rPr>
            <w:t>includ</w:t>
          </w:r>
          <w:r w:rsidRPr="000539DD">
            <w:rPr>
              <w:noProof w:val="0"/>
            </w:rPr>
            <w:t>ed</w:t>
          </w:r>
          <w:r w:rsidR="005C77AE" w:rsidRPr="000539DD">
            <w:rPr>
              <w:noProof w:val="0"/>
            </w:rPr>
            <w:t>:</w:t>
          </w:r>
        </w:p>
        <w:p w14:paraId="6629C9A3" w14:textId="77777777" w:rsidR="005C77AE" w:rsidRPr="000539DD" w:rsidRDefault="005C77AE" w:rsidP="000539DD">
          <w:pPr>
            <w:pStyle w:val="bodytextreverse"/>
            <w:tabs>
              <w:tab w:val="left" w:pos="567"/>
            </w:tabs>
            <w:spacing w:after="0" w:line="240" w:lineRule="auto"/>
            <w:ind w:left="567" w:hanging="567"/>
            <w:rPr>
              <w:noProof w:val="0"/>
            </w:rPr>
          </w:pPr>
          <w:r w:rsidRPr="000539DD">
            <w:rPr>
              <w:noProof w:val="0"/>
            </w:rPr>
            <w:t>•</w:t>
          </w:r>
          <w:r w:rsidRPr="000539DD">
            <w:rPr>
              <w:noProof w:val="0"/>
            </w:rPr>
            <w:tab/>
            <w:t>Creating a new offence of failure by a person in authority, in a relevant institution, to protect a child from the risk that a sexual offence will be committed against the child</w:t>
          </w:r>
        </w:p>
        <w:p w14:paraId="6C297231" w14:textId="77777777" w:rsidR="005C77AE" w:rsidRPr="000539DD" w:rsidRDefault="005C77AE" w:rsidP="000539DD">
          <w:pPr>
            <w:pStyle w:val="bodytextreverse"/>
            <w:tabs>
              <w:tab w:val="left" w:pos="567"/>
            </w:tabs>
            <w:spacing w:after="0" w:line="240" w:lineRule="auto"/>
            <w:ind w:left="567" w:hanging="567"/>
            <w:rPr>
              <w:noProof w:val="0"/>
            </w:rPr>
          </w:pPr>
          <w:r w:rsidRPr="000539DD">
            <w:rPr>
              <w:noProof w:val="0"/>
            </w:rPr>
            <w:t>•</w:t>
          </w:r>
          <w:r w:rsidRPr="000539DD">
            <w:rPr>
              <w:noProof w:val="0"/>
            </w:rPr>
            <w:tab/>
            <w:t>Making changes to sentencing laws so that sentences for child sexual abuse must be imposed according to current sentencing practice rather than the sentencing practice at the time of offending</w:t>
          </w:r>
        </w:p>
        <w:p w14:paraId="0D0EA4EF" w14:textId="77777777" w:rsidR="005C77AE" w:rsidRPr="000539DD" w:rsidRDefault="005C77AE" w:rsidP="000539DD">
          <w:pPr>
            <w:pStyle w:val="bodytextreverse"/>
            <w:tabs>
              <w:tab w:val="left" w:pos="567"/>
            </w:tabs>
            <w:spacing w:after="0" w:line="240" w:lineRule="auto"/>
            <w:ind w:left="567" w:hanging="567"/>
            <w:rPr>
              <w:noProof w:val="0"/>
            </w:rPr>
          </w:pPr>
          <w:r w:rsidRPr="000539DD">
            <w:rPr>
              <w:noProof w:val="0"/>
            </w:rPr>
            <w:t>•</w:t>
          </w:r>
          <w:r w:rsidRPr="000539DD">
            <w:rPr>
              <w:noProof w:val="0"/>
            </w:rPr>
            <w:tab/>
            <w:t>Enacting principles for dealing with child witnesses</w:t>
          </w:r>
        </w:p>
        <w:p w14:paraId="05DA244B" w14:textId="77777777" w:rsidR="005C77AE" w:rsidRPr="000539DD" w:rsidRDefault="005C77AE" w:rsidP="000539DD">
          <w:pPr>
            <w:pStyle w:val="bodytextreverse"/>
            <w:tabs>
              <w:tab w:val="left" w:pos="567"/>
            </w:tabs>
            <w:spacing w:after="0" w:line="240" w:lineRule="auto"/>
            <w:ind w:left="567" w:hanging="567"/>
            <w:rPr>
              <w:noProof w:val="0"/>
            </w:rPr>
          </w:pPr>
          <w:r w:rsidRPr="000539DD">
            <w:rPr>
              <w:noProof w:val="0"/>
            </w:rPr>
            <w:t>•</w:t>
          </w:r>
          <w:r w:rsidRPr="000539DD">
            <w:rPr>
              <w:noProof w:val="0"/>
            </w:rPr>
            <w:tab/>
            <w:t>Extending the availability of certain special measures for giving evidence to more categories of witnesses</w:t>
          </w:r>
        </w:p>
        <w:p w14:paraId="7171B619" w14:textId="77777777" w:rsidR="000539DD" w:rsidRDefault="005C77AE" w:rsidP="000539DD">
          <w:pPr>
            <w:pStyle w:val="bodytextreverse"/>
            <w:tabs>
              <w:tab w:val="left" w:pos="567"/>
            </w:tabs>
            <w:spacing w:after="0" w:line="240" w:lineRule="auto"/>
            <w:ind w:left="567" w:hanging="567"/>
            <w:rPr>
              <w:noProof w:val="0"/>
            </w:rPr>
          </w:pPr>
          <w:r w:rsidRPr="000539DD">
            <w:rPr>
              <w:noProof w:val="0"/>
            </w:rPr>
            <w:t>•</w:t>
          </w:r>
          <w:r w:rsidRPr="000539DD">
            <w:rPr>
              <w:noProof w:val="0"/>
            </w:rPr>
            <w:tab/>
            <w:t>Creating a procedural mechanism for charging offences as a ‘course of conduct’ for child sexual abuse</w:t>
          </w:r>
          <w:r w:rsidR="000539DD" w:rsidRPr="000539DD">
            <w:rPr>
              <w:noProof w:val="0"/>
            </w:rPr>
            <w:t>.</w:t>
          </w:r>
        </w:p>
        <w:p w14:paraId="03BDF5F1" w14:textId="77777777" w:rsidR="000539DD" w:rsidRPr="000539DD" w:rsidRDefault="000539DD" w:rsidP="000539DD">
          <w:pPr>
            <w:pStyle w:val="bodytextreverse"/>
            <w:tabs>
              <w:tab w:val="left" w:pos="567"/>
            </w:tabs>
            <w:spacing w:after="0" w:line="240" w:lineRule="auto"/>
            <w:ind w:left="567" w:hanging="567"/>
            <w:rPr>
              <w:noProof w:val="0"/>
            </w:rPr>
          </w:pPr>
        </w:p>
        <w:p w14:paraId="54A37368" w14:textId="3263C29C" w:rsidR="005C77AE" w:rsidRDefault="005C77AE" w:rsidP="000539DD">
          <w:pPr>
            <w:pStyle w:val="bodytextreverse"/>
            <w:tabs>
              <w:tab w:val="left" w:pos="0"/>
            </w:tabs>
            <w:rPr>
              <w:noProof w:val="0"/>
            </w:rPr>
          </w:pPr>
          <w:r>
            <w:rPr>
              <w:noProof w:val="0"/>
            </w:rPr>
            <w:t>Work on implementing the remaining recommendations is ongoing, and we expect to introduce legislation in 2019 and 2020 to implement additional reforms.</w:t>
          </w:r>
        </w:p>
        <w:p w14:paraId="26E230A2" w14:textId="1D8F4A8E" w:rsidR="00E94769" w:rsidRPr="00E94769" w:rsidRDefault="005C77AE" w:rsidP="005C77AE">
          <w:pPr>
            <w:pStyle w:val="bodytextreverse"/>
            <w:rPr>
              <w:noProof w:val="0"/>
            </w:rPr>
          </w:pPr>
          <w:r>
            <w:rPr>
              <w:noProof w:val="0"/>
            </w:rPr>
            <w:lastRenderedPageBreak/>
            <w:t>To find out more about the ACT Government’s response to the Royal Commission and its work on implementing its recommendations, visit www.act.gov.au/childabuseroyalcommission or follow ACT Government on Facebook or Twitter.</w:t>
          </w:r>
        </w:p>
        <w:tbl>
          <w:tblPr>
            <w:tblStyle w:val="ColorfulList-Accent5"/>
            <w:tblW w:w="0" w:type="auto"/>
            <w:tblLook w:val="04A0" w:firstRow="1" w:lastRow="0" w:firstColumn="1" w:lastColumn="0" w:noHBand="0" w:noVBand="1"/>
          </w:tblPr>
          <w:tblGrid>
            <w:gridCol w:w="10206"/>
          </w:tblGrid>
          <w:tr w:rsidR="00C458A6" w:rsidRPr="00E94769" w14:paraId="26E230A6" w14:textId="77777777" w:rsidTr="00032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vAlign w:val="top"/>
              </w:tcPr>
              <w:p w14:paraId="26E230A5" w14:textId="73489E40" w:rsidR="00C458A6" w:rsidRPr="00E94769" w:rsidRDefault="00FE0B23" w:rsidP="00BA103B">
                <w:pPr>
                  <w:pStyle w:val="Tableheadbold"/>
                  <w:rPr>
                    <w:color w:val="auto"/>
                  </w:rPr>
                </w:pPr>
                <w:r w:rsidRPr="00E94769">
                  <w:rPr>
                    <w:rFonts w:ascii="Montserrat" w:hAnsi="Montserrat"/>
                  </w:rPr>
                  <w:br w:type="page"/>
                </w:r>
                <w:r w:rsidR="00C458A6" w:rsidRPr="00E94769">
                  <w:t xml:space="preserve">Key Timings   </w:t>
                </w:r>
              </w:p>
            </w:tc>
          </w:tr>
          <w:tr w:rsidR="00C458A6" w:rsidRPr="00E94769" w14:paraId="26E230A8" w14:textId="77777777" w:rsidTr="00A77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vAlign w:val="top"/>
              </w:tcPr>
              <w:p w14:paraId="26E230A7" w14:textId="450E01E0" w:rsidR="00C458A6" w:rsidRPr="00E94769" w:rsidRDefault="000539DD" w:rsidP="000539DD">
                <w:pPr>
                  <w:pStyle w:val="bodytextreverse"/>
                  <w:rPr>
                    <w:noProof w:val="0"/>
                    <w:color w:val="auto"/>
                  </w:rPr>
                </w:pPr>
                <w:r w:rsidRPr="000539DD">
                  <w:rPr>
                    <w:noProof w:val="0"/>
                    <w:color w:val="auto"/>
                  </w:rPr>
                  <w:t>October 2018 to December 2018</w:t>
                </w:r>
                <w:r>
                  <w:rPr>
                    <w:noProof w:val="0"/>
                    <w:color w:val="auto"/>
                  </w:rPr>
                  <w:t xml:space="preserve"> </w:t>
                </w:r>
                <w:r w:rsidRPr="00F2418E">
                  <w:rPr>
                    <w:b w:val="0"/>
                    <w:noProof w:val="0"/>
                    <w:color w:val="auto"/>
                  </w:rPr>
                  <w:t>-</w:t>
                </w:r>
                <w:r>
                  <w:rPr>
                    <w:noProof w:val="0"/>
                    <w:color w:val="auto"/>
                  </w:rPr>
                  <w:t xml:space="preserve"> </w:t>
                </w:r>
                <w:r w:rsidRPr="00F2418E">
                  <w:rPr>
                    <w:b w:val="0"/>
                    <w:bCs w:val="0"/>
                    <w:color w:val="auto"/>
                  </w:rPr>
                  <w:t>Further targeted consultation on laws regarding the reporting of child sexual abuse</w:t>
                </w:r>
              </w:p>
            </w:tc>
          </w:tr>
          <w:tr w:rsidR="00C458A6" w:rsidRPr="00E94769" w14:paraId="26E230AB" w14:textId="77777777" w:rsidTr="00A77FAB">
            <w:trPr>
              <w:trHeight w:val="338"/>
            </w:trPr>
            <w:tc>
              <w:tcPr>
                <w:cnfStyle w:val="001000000000" w:firstRow="0" w:lastRow="0" w:firstColumn="1" w:lastColumn="0" w:oddVBand="0" w:evenVBand="0" w:oddHBand="0" w:evenHBand="0" w:firstRowFirstColumn="0" w:firstRowLastColumn="0" w:lastRowFirstColumn="0" w:lastRowLastColumn="0"/>
                <w:tcW w:w="10206" w:type="dxa"/>
                <w:vAlign w:val="top"/>
              </w:tcPr>
              <w:p w14:paraId="26E230AA" w14:textId="1FDC090D" w:rsidR="00C458A6" w:rsidRPr="00E94769" w:rsidRDefault="000539DD" w:rsidP="000539DD">
                <w:pPr>
                  <w:pStyle w:val="bodytextreverse"/>
                  <w:rPr>
                    <w:b w:val="0"/>
                    <w:noProof w:val="0"/>
                    <w:color w:val="auto"/>
                  </w:rPr>
                </w:pPr>
                <w:r w:rsidRPr="000539DD">
                  <w:rPr>
                    <w:noProof w:val="0"/>
                    <w:color w:val="auto"/>
                  </w:rPr>
                  <w:t xml:space="preserve">January 2019 to June 2019 </w:t>
                </w:r>
                <w:r w:rsidRPr="00F2418E">
                  <w:rPr>
                    <w:b w:val="0"/>
                    <w:noProof w:val="0"/>
                    <w:color w:val="auto"/>
                  </w:rPr>
                  <w:t>- A second tranche of criminal justice reforms to be implemented</w:t>
                </w:r>
                <w:r>
                  <w:rPr>
                    <w:b w:val="0"/>
                    <w:bCs w:val="0"/>
                    <w:color w:val="auto"/>
                  </w:rPr>
                  <w:t xml:space="preserve"> </w:t>
                </w:r>
              </w:p>
            </w:tc>
          </w:tr>
          <w:tr w:rsidR="00C458A6" w:rsidRPr="00E94769" w14:paraId="26E230AD" w14:textId="77777777" w:rsidTr="00A77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vAlign w:val="top"/>
              </w:tcPr>
              <w:p w14:paraId="26E230AC" w14:textId="708C2C69" w:rsidR="00C458A6" w:rsidRPr="000539DD" w:rsidRDefault="000539DD" w:rsidP="00C458A6">
                <w:pPr>
                  <w:pStyle w:val="bodytextreverse"/>
                  <w:rPr>
                    <w:b w:val="0"/>
                    <w:bCs w:val="0"/>
                    <w:color w:val="auto"/>
                  </w:rPr>
                </w:pPr>
                <w:r>
                  <w:rPr>
                    <w:noProof w:val="0"/>
                    <w:color w:val="auto"/>
                  </w:rPr>
                  <w:t xml:space="preserve">June 2019 to December 2020 </w:t>
                </w:r>
                <w:r w:rsidRPr="00F2418E">
                  <w:rPr>
                    <w:b w:val="0"/>
                    <w:noProof w:val="0"/>
                    <w:color w:val="auto"/>
                  </w:rPr>
                  <w:t>- Further tranches of reform to be progressed to impl</w:t>
                </w:r>
                <w:r w:rsidR="00F2418E">
                  <w:rPr>
                    <w:b w:val="0"/>
                    <w:noProof w:val="0"/>
                    <w:color w:val="auto"/>
                  </w:rPr>
                  <w:t>ement remaining recommendations</w:t>
                </w:r>
              </w:p>
            </w:tc>
            <w:bookmarkStart w:id="0" w:name="_GoBack"/>
            <w:bookmarkEnd w:id="0"/>
          </w:tr>
        </w:tbl>
        <w:p w14:paraId="26E230B4" w14:textId="2EE2A2D1" w:rsidR="00311E78" w:rsidRPr="00E94769" w:rsidRDefault="00F859B1" w:rsidP="000B6724">
          <w:pPr>
            <w:tabs>
              <w:tab w:val="center" w:pos="5174"/>
            </w:tabs>
            <w:spacing w:line="276" w:lineRule="auto"/>
            <w:rPr>
              <w:rFonts w:eastAsia="Times New Roman"/>
              <w:noProof/>
              <w:color w:val="482D8C" w:themeColor="background2"/>
              <w:sz w:val="36"/>
              <w:szCs w:val="40"/>
            </w:rPr>
          </w:pPr>
        </w:p>
      </w:sdtContent>
    </w:sdt>
    <w:p w14:paraId="26E230B5" w14:textId="77777777" w:rsidR="00E10C60" w:rsidRPr="00E94769" w:rsidRDefault="00E10C60" w:rsidP="00311E78"/>
    <w:tbl>
      <w:tblPr>
        <w:tblStyle w:val="ColorfulList-Accent5"/>
        <w:tblW w:w="10206" w:type="dxa"/>
        <w:tblLayout w:type="fixed"/>
        <w:tblLook w:val="04A0" w:firstRow="1" w:lastRow="0" w:firstColumn="1" w:lastColumn="0" w:noHBand="0" w:noVBand="1"/>
      </w:tblPr>
      <w:tblGrid>
        <w:gridCol w:w="2127"/>
        <w:gridCol w:w="2268"/>
        <w:gridCol w:w="2835"/>
        <w:gridCol w:w="2835"/>
        <w:gridCol w:w="141"/>
      </w:tblGrid>
      <w:tr w:rsidR="00BA26A8" w:rsidRPr="00E94769" w14:paraId="26E230B7" w14:textId="45589526" w:rsidTr="00D9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vAlign w:val="top"/>
          </w:tcPr>
          <w:p w14:paraId="26E230B6" w14:textId="7480E917" w:rsidR="00BA26A8" w:rsidRPr="00E94769" w:rsidRDefault="00BA26A8" w:rsidP="00BA103B">
            <w:pPr>
              <w:pStyle w:val="Tableheadbold"/>
              <w:jc w:val="center"/>
              <w:rPr>
                <w:szCs w:val="24"/>
              </w:rPr>
            </w:pPr>
            <w:r w:rsidRPr="00E94769">
              <w:rPr>
                <w:szCs w:val="24"/>
              </w:rPr>
              <w:t>THANK YOU FOR YOUR FEEDBACK</w:t>
            </w:r>
          </w:p>
        </w:tc>
      </w:tr>
      <w:tr w:rsidR="00345E7F" w:rsidRPr="00E94769" w14:paraId="26E230C0" w14:textId="375C6D3B" w:rsidTr="00F859B1">
        <w:trPr>
          <w:gridAfter w:val="1"/>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2127" w:type="dxa"/>
            <w:tcBorders>
              <w:bottom w:val="nil"/>
            </w:tcBorders>
            <w:vAlign w:val="top"/>
          </w:tcPr>
          <w:p w14:paraId="01B18655" w14:textId="2051FC76" w:rsidR="00345E7F" w:rsidRPr="000B6724" w:rsidRDefault="00345E7F" w:rsidP="007C4CD3">
            <w:pPr>
              <w:pStyle w:val="Intro"/>
              <w:tabs>
                <w:tab w:val="right" w:pos="8505"/>
                <w:tab w:val="right" w:pos="8789"/>
              </w:tabs>
              <w:jc w:val="center"/>
              <w:rPr>
                <w:bCs w:val="0"/>
                <w:sz w:val="20"/>
                <w:szCs w:val="18"/>
              </w:rPr>
            </w:pPr>
            <w:r w:rsidRPr="000B6724">
              <w:rPr>
                <w:sz w:val="32"/>
                <w:szCs w:val="32"/>
              </w:rPr>
              <w:t>503</w:t>
            </w:r>
            <w:r w:rsidRPr="000B6724">
              <w:rPr>
                <w:b w:val="0"/>
                <w:sz w:val="20"/>
                <w:szCs w:val="18"/>
              </w:rPr>
              <w:t xml:space="preserve"> </w:t>
            </w:r>
          </w:p>
          <w:p w14:paraId="26E230B9" w14:textId="2C8CDD5C" w:rsidR="00345E7F" w:rsidRPr="000B6724" w:rsidRDefault="00F859B1" w:rsidP="007C4CD3">
            <w:pPr>
              <w:pStyle w:val="Intro"/>
              <w:tabs>
                <w:tab w:val="right" w:pos="8505"/>
                <w:tab w:val="right" w:pos="8789"/>
              </w:tabs>
              <w:jc w:val="center"/>
              <w:rPr>
                <w:rFonts w:ascii="Montserrat" w:hAnsi="Montserrat"/>
                <w:b w:val="0"/>
                <w:sz w:val="20"/>
                <w:szCs w:val="18"/>
              </w:rPr>
            </w:pPr>
            <w:r>
              <w:rPr>
                <w:b w:val="0"/>
                <w:sz w:val="20"/>
                <w:szCs w:val="18"/>
              </w:rPr>
              <w:t>U</w:t>
            </w:r>
            <w:r w:rsidR="00345E7F" w:rsidRPr="000B6724">
              <w:rPr>
                <w:b w:val="0"/>
                <w:sz w:val="20"/>
                <w:szCs w:val="18"/>
              </w:rPr>
              <w:t xml:space="preserve">nique pageviews on </w:t>
            </w:r>
            <w:proofErr w:type="spellStart"/>
            <w:r w:rsidR="00345E7F" w:rsidRPr="000B6724">
              <w:rPr>
                <w:b w:val="0"/>
                <w:sz w:val="20"/>
                <w:szCs w:val="18"/>
              </w:rPr>
              <w:t>YourSay</w:t>
            </w:r>
            <w:proofErr w:type="spellEnd"/>
          </w:p>
        </w:tc>
        <w:tc>
          <w:tcPr>
            <w:tcW w:w="2268" w:type="dxa"/>
            <w:tcBorders>
              <w:bottom w:val="nil"/>
            </w:tcBorders>
            <w:vAlign w:val="top"/>
          </w:tcPr>
          <w:p w14:paraId="26E230BA" w14:textId="25CB3BD4" w:rsidR="00345E7F" w:rsidRPr="000B6724" w:rsidRDefault="00345E7F"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18"/>
              </w:rPr>
            </w:pPr>
            <w:r>
              <w:rPr>
                <w:b/>
                <w:sz w:val="32"/>
                <w:szCs w:val="18"/>
              </w:rPr>
              <w:t>20%</w:t>
            </w:r>
          </w:p>
          <w:p w14:paraId="26E230BB" w14:textId="00C3070A" w:rsidR="00345E7F" w:rsidRPr="000B6724" w:rsidRDefault="00345E7F" w:rsidP="00E871A0">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Of those we consulted, 20% were</w:t>
            </w:r>
            <w:r w:rsidRPr="000B6724">
              <w:rPr>
                <w:sz w:val="20"/>
                <w:szCs w:val="18"/>
              </w:rPr>
              <w:t xml:space="preserve"> survivor advocacy groups</w:t>
            </w:r>
          </w:p>
        </w:tc>
        <w:tc>
          <w:tcPr>
            <w:tcW w:w="2835" w:type="dxa"/>
            <w:tcBorders>
              <w:bottom w:val="nil"/>
            </w:tcBorders>
            <w:vAlign w:val="top"/>
          </w:tcPr>
          <w:p w14:paraId="2B0FDE00" w14:textId="77777777" w:rsidR="00345E7F" w:rsidRPr="000B6724" w:rsidRDefault="00345E7F" w:rsidP="00BA26A8">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sidRPr="000B6724">
              <w:rPr>
                <w:b/>
                <w:sz w:val="32"/>
                <w:szCs w:val="32"/>
              </w:rPr>
              <w:t xml:space="preserve">15 </w:t>
            </w:r>
          </w:p>
          <w:p w14:paraId="0D500C42" w14:textId="1AC469E3" w:rsidR="00345E7F" w:rsidRPr="000B6724" w:rsidRDefault="00345E7F" w:rsidP="00BA26A8">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20"/>
                <w:szCs w:val="32"/>
              </w:rPr>
            </w:pPr>
            <w:r w:rsidRPr="000B6724">
              <w:rPr>
                <w:sz w:val="20"/>
                <w:szCs w:val="18"/>
              </w:rPr>
              <w:t>We spoke with 15 stakeholders to better understand any ACT considerations for our reforms</w:t>
            </w:r>
          </w:p>
        </w:tc>
        <w:tc>
          <w:tcPr>
            <w:tcW w:w="2835" w:type="dxa"/>
            <w:tcBorders>
              <w:bottom w:val="nil"/>
            </w:tcBorders>
            <w:vAlign w:val="top"/>
          </w:tcPr>
          <w:p w14:paraId="26E230BF" w14:textId="1190F921" w:rsidR="00345E7F" w:rsidRPr="000B6724" w:rsidRDefault="00345E7F">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b/>
                <w:sz w:val="32"/>
                <w:szCs w:val="32"/>
              </w:rPr>
              <w:t>100%</w:t>
            </w:r>
            <w:r w:rsidRPr="000B6724">
              <w:rPr>
                <w:b/>
                <w:sz w:val="32"/>
                <w:szCs w:val="32"/>
              </w:rPr>
              <w:t xml:space="preserve"> </w:t>
            </w:r>
            <w:r>
              <w:rPr>
                <w:b/>
                <w:sz w:val="32"/>
                <w:szCs w:val="32"/>
              </w:rPr>
              <w:br/>
            </w:r>
            <w:r>
              <w:rPr>
                <w:sz w:val="20"/>
                <w:szCs w:val="32"/>
              </w:rPr>
              <w:t xml:space="preserve">All applicable </w:t>
            </w:r>
            <w:r w:rsidRPr="000B6724">
              <w:rPr>
                <w:sz w:val="20"/>
                <w:szCs w:val="32"/>
              </w:rPr>
              <w:t xml:space="preserve">criminal justice recommendations </w:t>
            </w:r>
            <w:r>
              <w:rPr>
                <w:sz w:val="20"/>
                <w:szCs w:val="32"/>
              </w:rPr>
              <w:t>are being progressed by the ACT Government</w:t>
            </w:r>
          </w:p>
        </w:tc>
      </w:tr>
    </w:tbl>
    <w:p w14:paraId="26E230D4" w14:textId="77777777" w:rsidR="00311E78" w:rsidRPr="00E94769" w:rsidRDefault="00311E78" w:rsidP="00E94769">
      <w:pPr>
        <w:pStyle w:val="Intro"/>
        <w:pBdr>
          <w:top w:val="single" w:sz="4" w:space="1" w:color="auto"/>
        </w:pBdr>
        <w:tabs>
          <w:tab w:val="right" w:pos="8505"/>
          <w:tab w:val="right" w:pos="8789"/>
        </w:tabs>
      </w:pPr>
      <w:r w:rsidRPr="00E94769">
        <w:rPr>
          <w:noProof/>
          <w:sz w:val="18"/>
          <w:szCs w:val="18"/>
        </w:rPr>
        <w:t xml:space="preserve"> </w:t>
      </w:r>
    </w:p>
    <w:sectPr w:rsidR="00311E78" w:rsidRPr="00E94769" w:rsidSect="00311E78">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ADDA" w14:textId="77777777" w:rsidR="0024209C" w:rsidRDefault="0024209C" w:rsidP="00665B9F">
      <w:pPr>
        <w:spacing w:after="0" w:line="240" w:lineRule="auto"/>
      </w:pPr>
      <w:r>
        <w:separator/>
      </w:r>
    </w:p>
  </w:endnote>
  <w:endnote w:type="continuationSeparator" w:id="0">
    <w:p w14:paraId="7C5CC91F" w14:textId="77777777" w:rsidR="0024209C" w:rsidRDefault="0024209C"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72188"/>
      <w:docPartObj>
        <w:docPartGallery w:val="Page Numbers (Bottom of Page)"/>
        <w:docPartUnique/>
      </w:docPartObj>
    </w:sdtPr>
    <w:sdtEndPr>
      <w:rPr>
        <w:noProof/>
      </w:rPr>
    </w:sdtEndPr>
    <w:sdtContent>
      <w:p w14:paraId="26E230DC" w14:textId="77777777" w:rsidR="005A2C39" w:rsidRDefault="005A2C39">
        <w:pPr>
          <w:pStyle w:val="Footer"/>
          <w:jc w:val="center"/>
        </w:pPr>
        <w:r>
          <w:rPr>
            <w:rFonts w:ascii="Montserrat" w:hAnsi="Montserrat"/>
            <w:noProof/>
          </w:rPr>
          <w:drawing>
            <wp:anchor distT="0" distB="0" distL="114300" distR="114300" simplePos="0" relativeHeight="251668480" behindDoc="1" locked="0" layoutInCell="1" allowOverlap="1" wp14:anchorId="26E230E3" wp14:editId="26E230E4">
              <wp:simplePos x="0" y="0"/>
              <wp:positionH relativeFrom="column">
                <wp:posOffset>635</wp:posOffset>
              </wp:positionH>
              <wp:positionV relativeFrom="paragraph">
                <wp:posOffset>-29667</wp:posOffset>
              </wp:positionV>
              <wp:extent cx="6570980" cy="630555"/>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r>
          <w:fldChar w:fldCharType="begin"/>
        </w:r>
        <w:r>
          <w:instrText xml:space="preserve"> PAGE   \* MERGEFORMAT </w:instrText>
        </w:r>
        <w:r>
          <w:fldChar w:fldCharType="separate"/>
        </w:r>
        <w:r w:rsidR="00A426B2">
          <w:rPr>
            <w:noProof/>
          </w:rPr>
          <w:t>3</w:t>
        </w:r>
        <w:r>
          <w:rPr>
            <w:noProof/>
          </w:rPr>
          <w:fldChar w:fldCharType="end"/>
        </w:r>
      </w:p>
    </w:sdtContent>
  </w:sdt>
  <w:p w14:paraId="26E230DD" w14:textId="7777777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30DF"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26E230E7" wp14:editId="26E230E8">
          <wp:simplePos x="0" y="0"/>
          <wp:positionH relativeFrom="margin">
            <wp:align>right</wp:align>
          </wp:positionH>
          <wp:positionV relativeFrom="paragraph">
            <wp:posOffset>7196</wp:posOffset>
          </wp:positionV>
          <wp:extent cx="1034308" cy="531284"/>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26E230E9" wp14:editId="26E230EA">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235BA"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26E230E0" w14:textId="77777777" w:rsidR="003C0F24" w:rsidRDefault="003C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6943" w14:textId="77777777" w:rsidR="0024209C" w:rsidRDefault="0024209C" w:rsidP="00665B9F">
      <w:pPr>
        <w:spacing w:after="0" w:line="240" w:lineRule="auto"/>
      </w:pPr>
      <w:r>
        <w:separator/>
      </w:r>
    </w:p>
  </w:footnote>
  <w:footnote w:type="continuationSeparator" w:id="0">
    <w:p w14:paraId="75EA6E72" w14:textId="77777777" w:rsidR="0024209C" w:rsidRDefault="0024209C"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30DB" w14:textId="7FC3DD96"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9264" behindDoc="1" locked="0" layoutInCell="1" allowOverlap="1" wp14:anchorId="26E230E1" wp14:editId="26E230E2">
          <wp:simplePos x="0" y="0"/>
          <wp:positionH relativeFrom="column">
            <wp:posOffset>-1012825</wp:posOffset>
          </wp:positionH>
          <wp:positionV relativeFrom="paragraph">
            <wp:posOffset>-573405</wp:posOffset>
          </wp:positionV>
          <wp:extent cx="8263699" cy="1965960"/>
          <wp:effectExtent l="0" t="0" r="4445" b="0"/>
          <wp:wrapNone/>
          <wp:docPr id="21" name="Picture 21"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5C77AE" w:rsidRPr="005C77AE">
      <w:rPr>
        <w:rStyle w:val="BoldHeading1Char"/>
      </w:rPr>
      <w:t>ROYAL COMMISSION CRIMINAL JUSTICE REFORMS</w:t>
    </w:r>
    <w:r w:rsidR="003C0F24">
      <w:rPr>
        <w:noProof/>
        <w:color w:val="000000" w:themeColor="text1"/>
        <w:w w:val="92"/>
      </w:rPr>
      <w:tab/>
    </w:r>
    <w:r w:rsidR="00745525" w:rsidRPr="00657E57">
      <w:rPr>
        <w:noProof/>
        <w:color w:val="000000" w:themeColor="text1"/>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3C0F24">
      <w:rPr>
        <w:noProof/>
        <w:w w:val="92"/>
      </w:rPr>
      <w:t xml:space="preserve"> </w:t>
    </w:r>
    <w:r w:rsidR="003B0D48" w:rsidRPr="003C0F24">
      <w:rPr>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30DE" w14:textId="77777777"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26E230E5" wp14:editId="26E230E6">
          <wp:simplePos x="0" y="0"/>
          <wp:positionH relativeFrom="column">
            <wp:posOffset>-701040</wp:posOffset>
          </wp:positionH>
          <wp:positionV relativeFrom="paragraph">
            <wp:posOffset>-2133600</wp:posOffset>
          </wp:positionV>
          <wp:extent cx="8263699" cy="1965960"/>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53625"/>
    <w:multiLevelType w:val="hybridMultilevel"/>
    <w:tmpl w:val="CA8E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0A58B2"/>
    <w:multiLevelType w:val="hybridMultilevel"/>
    <w:tmpl w:val="C0D8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7B416F"/>
    <w:multiLevelType w:val="hybridMultilevel"/>
    <w:tmpl w:val="17C42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4E07704"/>
    <w:multiLevelType w:val="hybridMultilevel"/>
    <w:tmpl w:val="6EF89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64409EB"/>
    <w:multiLevelType w:val="hybridMultilevel"/>
    <w:tmpl w:val="7CBA6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70533C"/>
    <w:multiLevelType w:val="hybridMultilevel"/>
    <w:tmpl w:val="D69A67E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3"/>
  </w:num>
  <w:num w:numId="4">
    <w:abstractNumId w:val="30"/>
  </w:num>
  <w:num w:numId="5">
    <w:abstractNumId w:val="25"/>
  </w:num>
  <w:num w:numId="6">
    <w:abstractNumId w:val="18"/>
  </w:num>
  <w:num w:numId="7">
    <w:abstractNumId w:val="35"/>
  </w:num>
  <w:num w:numId="8">
    <w:abstractNumId w:val="22"/>
  </w:num>
  <w:num w:numId="9">
    <w:abstractNumId w:val="12"/>
  </w:num>
  <w:num w:numId="10">
    <w:abstractNumId w:val="26"/>
  </w:num>
  <w:num w:numId="11">
    <w:abstractNumId w:val="20"/>
  </w:num>
  <w:num w:numId="12">
    <w:abstractNumId w:val="31"/>
  </w:num>
  <w:num w:numId="13">
    <w:abstractNumId w:val="16"/>
  </w:num>
  <w:num w:numId="14">
    <w:abstractNumId w:val="21"/>
  </w:num>
  <w:num w:numId="15">
    <w:abstractNumId w:val="23"/>
  </w:num>
  <w:num w:numId="16">
    <w:abstractNumId w:val="15"/>
  </w:num>
  <w:num w:numId="17">
    <w:abstractNumId w:val="17"/>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7"/>
  </w:num>
  <w:num w:numId="31">
    <w:abstractNumId w:val="13"/>
  </w:num>
  <w:num w:numId="32">
    <w:abstractNumId w:val="14"/>
  </w:num>
  <w:num w:numId="33">
    <w:abstractNumId w:val="10"/>
  </w:num>
  <w:num w:numId="34">
    <w:abstractNumId w:val="19"/>
  </w:num>
  <w:num w:numId="35">
    <w:abstractNumId w:val="32"/>
  </w:num>
  <w:num w:numId="36">
    <w:abstractNumId w:val="2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AC"/>
    <w:rsid w:val="000016B9"/>
    <w:rsid w:val="000068D5"/>
    <w:rsid w:val="00030790"/>
    <w:rsid w:val="00030CC1"/>
    <w:rsid w:val="00032E21"/>
    <w:rsid w:val="00034546"/>
    <w:rsid w:val="00036B92"/>
    <w:rsid w:val="000419C1"/>
    <w:rsid w:val="00043B50"/>
    <w:rsid w:val="0005196D"/>
    <w:rsid w:val="000539DD"/>
    <w:rsid w:val="000650AF"/>
    <w:rsid w:val="00065CEA"/>
    <w:rsid w:val="00070067"/>
    <w:rsid w:val="0007453E"/>
    <w:rsid w:val="00076803"/>
    <w:rsid w:val="00090A83"/>
    <w:rsid w:val="000A2FFC"/>
    <w:rsid w:val="000A6B63"/>
    <w:rsid w:val="000B13CB"/>
    <w:rsid w:val="000B6724"/>
    <w:rsid w:val="000B7722"/>
    <w:rsid w:val="000C3F1E"/>
    <w:rsid w:val="000C6C34"/>
    <w:rsid w:val="000F5CCD"/>
    <w:rsid w:val="000F5D86"/>
    <w:rsid w:val="0011798B"/>
    <w:rsid w:val="0015010B"/>
    <w:rsid w:val="00152EB7"/>
    <w:rsid w:val="0016080C"/>
    <w:rsid w:val="001623DE"/>
    <w:rsid w:val="001738F1"/>
    <w:rsid w:val="001912A2"/>
    <w:rsid w:val="001966FA"/>
    <w:rsid w:val="00197666"/>
    <w:rsid w:val="001A0139"/>
    <w:rsid w:val="001A0956"/>
    <w:rsid w:val="001C1FF2"/>
    <w:rsid w:val="001E7690"/>
    <w:rsid w:val="001E76BA"/>
    <w:rsid w:val="002009BA"/>
    <w:rsid w:val="0020528D"/>
    <w:rsid w:val="00214A8E"/>
    <w:rsid w:val="00215465"/>
    <w:rsid w:val="0024209C"/>
    <w:rsid w:val="002479CE"/>
    <w:rsid w:val="002846D8"/>
    <w:rsid w:val="002A0832"/>
    <w:rsid w:val="002A093C"/>
    <w:rsid w:val="002A5458"/>
    <w:rsid w:val="002B1406"/>
    <w:rsid w:val="002C6B74"/>
    <w:rsid w:val="002D33BC"/>
    <w:rsid w:val="002D4A59"/>
    <w:rsid w:val="002D6623"/>
    <w:rsid w:val="002E7655"/>
    <w:rsid w:val="002F3300"/>
    <w:rsid w:val="003010B0"/>
    <w:rsid w:val="00311E78"/>
    <w:rsid w:val="003201EC"/>
    <w:rsid w:val="003238CE"/>
    <w:rsid w:val="003371E3"/>
    <w:rsid w:val="00340195"/>
    <w:rsid w:val="003439ED"/>
    <w:rsid w:val="00345E7F"/>
    <w:rsid w:val="00347A58"/>
    <w:rsid w:val="00354F6D"/>
    <w:rsid w:val="003633F5"/>
    <w:rsid w:val="00376A58"/>
    <w:rsid w:val="003A641C"/>
    <w:rsid w:val="003B0D48"/>
    <w:rsid w:val="003B13F4"/>
    <w:rsid w:val="003B75A6"/>
    <w:rsid w:val="003C0F24"/>
    <w:rsid w:val="003D2C5E"/>
    <w:rsid w:val="003D4DBC"/>
    <w:rsid w:val="00411A3D"/>
    <w:rsid w:val="00443621"/>
    <w:rsid w:val="004439BD"/>
    <w:rsid w:val="004502A1"/>
    <w:rsid w:val="00452B15"/>
    <w:rsid w:val="004563B4"/>
    <w:rsid w:val="00462EA4"/>
    <w:rsid w:val="00481CE3"/>
    <w:rsid w:val="00481F70"/>
    <w:rsid w:val="00482E0B"/>
    <w:rsid w:val="00496C0F"/>
    <w:rsid w:val="00496CD4"/>
    <w:rsid w:val="004B4981"/>
    <w:rsid w:val="004C10AE"/>
    <w:rsid w:val="004C1925"/>
    <w:rsid w:val="004E69B5"/>
    <w:rsid w:val="004F131E"/>
    <w:rsid w:val="004F3D98"/>
    <w:rsid w:val="004F50AC"/>
    <w:rsid w:val="004F5B70"/>
    <w:rsid w:val="004F74DA"/>
    <w:rsid w:val="005014D9"/>
    <w:rsid w:val="00503E7E"/>
    <w:rsid w:val="00512E77"/>
    <w:rsid w:val="0053763A"/>
    <w:rsid w:val="0054352A"/>
    <w:rsid w:val="005520AB"/>
    <w:rsid w:val="005638F1"/>
    <w:rsid w:val="005654E8"/>
    <w:rsid w:val="00576D35"/>
    <w:rsid w:val="00577AA3"/>
    <w:rsid w:val="0058377A"/>
    <w:rsid w:val="00586AC8"/>
    <w:rsid w:val="005A2C39"/>
    <w:rsid w:val="005A60DB"/>
    <w:rsid w:val="005B369E"/>
    <w:rsid w:val="005C344B"/>
    <w:rsid w:val="005C54B5"/>
    <w:rsid w:val="005C72CC"/>
    <w:rsid w:val="005C77AE"/>
    <w:rsid w:val="005E5305"/>
    <w:rsid w:val="006046FF"/>
    <w:rsid w:val="00622565"/>
    <w:rsid w:val="0062733A"/>
    <w:rsid w:val="0063036E"/>
    <w:rsid w:val="00632F54"/>
    <w:rsid w:val="00633AF4"/>
    <w:rsid w:val="00635C80"/>
    <w:rsid w:val="00650DC7"/>
    <w:rsid w:val="006515F5"/>
    <w:rsid w:val="00657E57"/>
    <w:rsid w:val="006610FF"/>
    <w:rsid w:val="00665B9F"/>
    <w:rsid w:val="00680C6F"/>
    <w:rsid w:val="00685229"/>
    <w:rsid w:val="006875BB"/>
    <w:rsid w:val="0069624A"/>
    <w:rsid w:val="006A2843"/>
    <w:rsid w:val="006A6360"/>
    <w:rsid w:val="006C1037"/>
    <w:rsid w:val="006D2273"/>
    <w:rsid w:val="006D5CDC"/>
    <w:rsid w:val="006F7929"/>
    <w:rsid w:val="0073089A"/>
    <w:rsid w:val="00734276"/>
    <w:rsid w:val="00745525"/>
    <w:rsid w:val="0075145D"/>
    <w:rsid w:val="00752EAD"/>
    <w:rsid w:val="0076392F"/>
    <w:rsid w:val="007903B1"/>
    <w:rsid w:val="0079069F"/>
    <w:rsid w:val="00791007"/>
    <w:rsid w:val="007A6A50"/>
    <w:rsid w:val="007B43B5"/>
    <w:rsid w:val="007D1FEC"/>
    <w:rsid w:val="007D26DC"/>
    <w:rsid w:val="007D5985"/>
    <w:rsid w:val="007D72ED"/>
    <w:rsid w:val="007E76A2"/>
    <w:rsid w:val="00810221"/>
    <w:rsid w:val="00810457"/>
    <w:rsid w:val="00815AAF"/>
    <w:rsid w:val="00817D78"/>
    <w:rsid w:val="008266EE"/>
    <w:rsid w:val="00826FDC"/>
    <w:rsid w:val="0082754F"/>
    <w:rsid w:val="00832B4A"/>
    <w:rsid w:val="008459DC"/>
    <w:rsid w:val="008545F3"/>
    <w:rsid w:val="0086024E"/>
    <w:rsid w:val="00860B3E"/>
    <w:rsid w:val="00875C35"/>
    <w:rsid w:val="00886A94"/>
    <w:rsid w:val="0089332C"/>
    <w:rsid w:val="008A2D11"/>
    <w:rsid w:val="008A4312"/>
    <w:rsid w:val="008A593B"/>
    <w:rsid w:val="008D2D94"/>
    <w:rsid w:val="008D37D2"/>
    <w:rsid w:val="008D3819"/>
    <w:rsid w:val="008E6747"/>
    <w:rsid w:val="0092592D"/>
    <w:rsid w:val="009343BB"/>
    <w:rsid w:val="00936F16"/>
    <w:rsid w:val="00937B2B"/>
    <w:rsid w:val="00941A30"/>
    <w:rsid w:val="00947539"/>
    <w:rsid w:val="0096313F"/>
    <w:rsid w:val="00966ABA"/>
    <w:rsid w:val="00975520"/>
    <w:rsid w:val="009972DF"/>
    <w:rsid w:val="009B7419"/>
    <w:rsid w:val="009C0369"/>
    <w:rsid w:val="009D0170"/>
    <w:rsid w:val="009E391E"/>
    <w:rsid w:val="009E4EC4"/>
    <w:rsid w:val="00A12B38"/>
    <w:rsid w:val="00A20DDE"/>
    <w:rsid w:val="00A2596A"/>
    <w:rsid w:val="00A26ECF"/>
    <w:rsid w:val="00A426B2"/>
    <w:rsid w:val="00A472EE"/>
    <w:rsid w:val="00A53F9C"/>
    <w:rsid w:val="00A541B9"/>
    <w:rsid w:val="00A56436"/>
    <w:rsid w:val="00A71462"/>
    <w:rsid w:val="00A7771C"/>
    <w:rsid w:val="00A77FAB"/>
    <w:rsid w:val="00A80C2F"/>
    <w:rsid w:val="00AA5DD1"/>
    <w:rsid w:val="00AA618D"/>
    <w:rsid w:val="00AA6E5F"/>
    <w:rsid w:val="00AB3779"/>
    <w:rsid w:val="00AB65E7"/>
    <w:rsid w:val="00AB6DED"/>
    <w:rsid w:val="00AB7D32"/>
    <w:rsid w:val="00AC5820"/>
    <w:rsid w:val="00AD606C"/>
    <w:rsid w:val="00AE2693"/>
    <w:rsid w:val="00AE3905"/>
    <w:rsid w:val="00AE3E57"/>
    <w:rsid w:val="00AE4620"/>
    <w:rsid w:val="00AE507F"/>
    <w:rsid w:val="00AE6BD7"/>
    <w:rsid w:val="00AF112C"/>
    <w:rsid w:val="00AF4E7F"/>
    <w:rsid w:val="00B02277"/>
    <w:rsid w:val="00B23196"/>
    <w:rsid w:val="00B40CCC"/>
    <w:rsid w:val="00B45AA2"/>
    <w:rsid w:val="00B51C5D"/>
    <w:rsid w:val="00B525C2"/>
    <w:rsid w:val="00B52648"/>
    <w:rsid w:val="00B6508B"/>
    <w:rsid w:val="00B70B52"/>
    <w:rsid w:val="00B71D00"/>
    <w:rsid w:val="00BA103B"/>
    <w:rsid w:val="00BA26A8"/>
    <w:rsid w:val="00BB3989"/>
    <w:rsid w:val="00BC21E9"/>
    <w:rsid w:val="00BC6211"/>
    <w:rsid w:val="00C11391"/>
    <w:rsid w:val="00C140C2"/>
    <w:rsid w:val="00C17AE1"/>
    <w:rsid w:val="00C21476"/>
    <w:rsid w:val="00C30FA2"/>
    <w:rsid w:val="00C348AF"/>
    <w:rsid w:val="00C34A60"/>
    <w:rsid w:val="00C34F4D"/>
    <w:rsid w:val="00C458A6"/>
    <w:rsid w:val="00C777B3"/>
    <w:rsid w:val="00C82173"/>
    <w:rsid w:val="00C837F2"/>
    <w:rsid w:val="00C85938"/>
    <w:rsid w:val="00C973B7"/>
    <w:rsid w:val="00CA5D21"/>
    <w:rsid w:val="00CB5B48"/>
    <w:rsid w:val="00CB7CEE"/>
    <w:rsid w:val="00CC4031"/>
    <w:rsid w:val="00CD175B"/>
    <w:rsid w:val="00CE5298"/>
    <w:rsid w:val="00CF5A26"/>
    <w:rsid w:val="00D05E52"/>
    <w:rsid w:val="00D2026C"/>
    <w:rsid w:val="00D249CA"/>
    <w:rsid w:val="00D24F1A"/>
    <w:rsid w:val="00D51B7A"/>
    <w:rsid w:val="00D5471F"/>
    <w:rsid w:val="00D63564"/>
    <w:rsid w:val="00D72E45"/>
    <w:rsid w:val="00D760F0"/>
    <w:rsid w:val="00D84344"/>
    <w:rsid w:val="00D940CD"/>
    <w:rsid w:val="00DB04F9"/>
    <w:rsid w:val="00DB064A"/>
    <w:rsid w:val="00DB76EC"/>
    <w:rsid w:val="00DD13FE"/>
    <w:rsid w:val="00DD1627"/>
    <w:rsid w:val="00DD35A4"/>
    <w:rsid w:val="00DD6496"/>
    <w:rsid w:val="00DD7FA7"/>
    <w:rsid w:val="00DE2D59"/>
    <w:rsid w:val="00DF0D0F"/>
    <w:rsid w:val="00E020B6"/>
    <w:rsid w:val="00E10C60"/>
    <w:rsid w:val="00E1142D"/>
    <w:rsid w:val="00E20794"/>
    <w:rsid w:val="00E25F01"/>
    <w:rsid w:val="00E27E63"/>
    <w:rsid w:val="00E30105"/>
    <w:rsid w:val="00E43F8B"/>
    <w:rsid w:val="00E561E7"/>
    <w:rsid w:val="00E670FD"/>
    <w:rsid w:val="00E73B61"/>
    <w:rsid w:val="00E753AA"/>
    <w:rsid w:val="00E817B2"/>
    <w:rsid w:val="00E850F8"/>
    <w:rsid w:val="00E871A0"/>
    <w:rsid w:val="00E93F07"/>
    <w:rsid w:val="00E94769"/>
    <w:rsid w:val="00EC7585"/>
    <w:rsid w:val="00F04053"/>
    <w:rsid w:val="00F05E53"/>
    <w:rsid w:val="00F11E01"/>
    <w:rsid w:val="00F141C9"/>
    <w:rsid w:val="00F15362"/>
    <w:rsid w:val="00F21382"/>
    <w:rsid w:val="00F2418E"/>
    <w:rsid w:val="00F43E6B"/>
    <w:rsid w:val="00F47ECA"/>
    <w:rsid w:val="00F53D3C"/>
    <w:rsid w:val="00F65D04"/>
    <w:rsid w:val="00F826ED"/>
    <w:rsid w:val="00F859B1"/>
    <w:rsid w:val="00F85C46"/>
    <w:rsid w:val="00F875BD"/>
    <w:rsid w:val="00FB1226"/>
    <w:rsid w:val="00FB3938"/>
    <w:rsid w:val="00FC70CA"/>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23077"/>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character" w:styleId="CommentReference">
    <w:name w:val="annotation reference"/>
    <w:basedOn w:val="DefaultParagraphFont"/>
    <w:uiPriority w:val="99"/>
    <w:semiHidden/>
    <w:unhideWhenUsed/>
    <w:rsid w:val="009343BB"/>
    <w:rPr>
      <w:sz w:val="16"/>
      <w:szCs w:val="16"/>
    </w:rPr>
  </w:style>
  <w:style w:type="paragraph" w:styleId="CommentText">
    <w:name w:val="annotation text"/>
    <w:basedOn w:val="Normal"/>
    <w:link w:val="CommentTextChar"/>
    <w:uiPriority w:val="99"/>
    <w:semiHidden/>
    <w:unhideWhenUsed/>
    <w:rsid w:val="009343BB"/>
    <w:pPr>
      <w:spacing w:line="240" w:lineRule="auto"/>
    </w:pPr>
    <w:rPr>
      <w:sz w:val="20"/>
      <w:szCs w:val="20"/>
    </w:rPr>
  </w:style>
  <w:style w:type="character" w:customStyle="1" w:styleId="CommentTextChar">
    <w:name w:val="Comment Text Char"/>
    <w:basedOn w:val="DefaultParagraphFont"/>
    <w:link w:val="CommentText"/>
    <w:uiPriority w:val="99"/>
    <w:semiHidden/>
    <w:rsid w:val="009343BB"/>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343BB"/>
    <w:rPr>
      <w:b/>
      <w:bCs/>
    </w:rPr>
  </w:style>
  <w:style w:type="character" w:customStyle="1" w:styleId="CommentSubjectChar">
    <w:name w:val="Comment Subject Char"/>
    <w:basedOn w:val="CommentTextChar"/>
    <w:link w:val="CommentSubject"/>
    <w:uiPriority w:val="99"/>
    <w:semiHidden/>
    <w:rsid w:val="009343BB"/>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17D9ED617B84B9E72ED737EC6F8ED" ma:contentTypeVersion="2" ma:contentTypeDescription="Create a new document." ma:contentTypeScope="" ma:versionID="a02194b6d81df004dc519194790ecc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2.xml><?xml version="1.0" encoding="utf-8"?>
<ds:datastoreItem xmlns:ds="http://schemas.openxmlformats.org/officeDocument/2006/customXml" ds:itemID="{2FBE1A41-1299-49A6-9ED7-B173F9295D73}">
  <ds:schemaRefs>
    <ds:schemaRef ds:uri="http://schemas.microsoft.com/office/2006/documentManagement/types"/>
    <ds:schemaRef ds:uri="http://schemas.openxmlformats.org/package/2006/metadata/core-properties"/>
    <ds:schemaRef ds:uri="http://purl.org/dc/terms/"/>
    <ds:schemaRef ds:uri="http://schemas.microsoft.com/sharepoint/v3"/>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16E2D99-9C67-41AE-8B7C-04EF280C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E4834-A002-484F-B386-F6AAE826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Wood, Felicity</cp:lastModifiedBy>
  <cp:revision>4</cp:revision>
  <cp:lastPrinted>2019-02-06T01:29:00Z</cp:lastPrinted>
  <dcterms:created xsi:type="dcterms:W3CDTF">2019-02-25T06:11:00Z</dcterms:created>
  <dcterms:modified xsi:type="dcterms:W3CDTF">2019-02-27T05:43:00Z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0x01010087717D9ED617B84B9E72ED737EC6F8ED</vt:lpwstr>
  </property>
</Properties>
</file>