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Cs/>
          <w:caps w:val="0"/>
          <w:noProof/>
          <w:color w:val="auto"/>
          <w:kern w:val="22"/>
          <w:sz w:val="21"/>
          <w:szCs w:val="21"/>
        </w:rPr>
        <w:id w:val="440470352"/>
        <w:docPartObj>
          <w:docPartGallery w:val="Cover Pages"/>
          <w:docPartUnique/>
        </w:docPartObj>
      </w:sdtPr>
      <w:sdtEndPr>
        <w:rPr>
          <w:rFonts w:eastAsia="Times New Roman"/>
          <w:bCs w:val="0"/>
          <w:noProof w:val="0"/>
          <w:color w:val="482D8C" w:themeColor="background2"/>
          <w:kern w:val="0"/>
          <w:sz w:val="36"/>
          <w:szCs w:val="40"/>
        </w:rPr>
      </w:sdtEndPr>
      <w:sdtContent>
        <w:bookmarkStart w:id="0" w:name="_Hlk14257553" w:displacedByCustomXml="next"/>
        <w:sdt>
          <w:sdtPr>
            <w:rPr>
              <w:b/>
              <w:bCs/>
              <w:caps w:val="0"/>
              <w:noProof/>
              <w:color w:val="auto"/>
              <w:kern w:val="22"/>
              <w:sz w:val="21"/>
              <w:szCs w:val="21"/>
            </w:rPr>
            <w:id w:val="-750430134"/>
            <w:docPartObj>
              <w:docPartGallery w:val="Cover Pages"/>
              <w:docPartUnique/>
            </w:docPartObj>
          </w:sdtPr>
          <w:sdtEndPr>
            <w:rPr>
              <w:rFonts w:eastAsia="Times New Roman"/>
              <w:bCs w:val="0"/>
              <w:color w:val="482D8C" w:themeColor="background2"/>
              <w:sz w:val="36"/>
              <w:szCs w:val="40"/>
            </w:rPr>
          </w:sdtEndPr>
          <w:sdtContent>
            <w:p w14:paraId="3AA7C2EE" w14:textId="38203499" w:rsidR="00763251" w:rsidRPr="00E94769" w:rsidRDefault="00763251" w:rsidP="00745525">
              <w:pPr>
                <w:pStyle w:val="Heading2"/>
              </w:pPr>
              <w:r w:rsidRPr="00E94769">
                <w:rPr>
                  <w:noProof/>
                </w:rPr>
                <w:drawing>
                  <wp:anchor distT="0" distB="0" distL="114300" distR="114300" simplePos="0" relativeHeight="251665408" behindDoc="1" locked="1" layoutInCell="1" allowOverlap="0" wp14:anchorId="2B2E7876" wp14:editId="30D01B76">
                    <wp:simplePos x="0" y="0"/>
                    <wp:positionH relativeFrom="margin">
                      <wp:posOffset>3834765</wp:posOffset>
                    </wp:positionH>
                    <wp:positionV relativeFrom="margin">
                      <wp:posOffset>760095</wp:posOffset>
                    </wp:positionV>
                    <wp:extent cx="2872740" cy="2154555"/>
                    <wp:effectExtent l="0" t="0" r="381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tock-542701764.jp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rot="10800000">
                              <a:off x="0" y="0"/>
                              <a:ext cx="2872740" cy="2154555"/>
                            </a:xfrm>
                            <a:prstGeom prst="ellipse">
                              <a:avLst/>
                            </a:prstGeom>
                            <a:ln w="63500" cap="rnd">
                              <a:noFill/>
                            </a:ln>
                            <a:effectLst/>
                          </pic:spPr>
                        </pic:pic>
                      </a:graphicData>
                    </a:graphic>
                    <wp14:sizeRelH relativeFrom="page">
                      <wp14:pctWidth>0</wp14:pctWidth>
                    </wp14:sizeRelH>
                    <wp14:sizeRelV relativeFrom="page">
                      <wp14:pctHeight>0</wp14:pctHeight>
                    </wp14:sizeRelV>
                  </wp:anchor>
                </w:drawing>
              </w:r>
              <w:r>
                <w:t>Wellbeing indicators</w:t>
              </w:r>
            </w:p>
            <w:p w14:paraId="66578F59" w14:textId="77777777" w:rsidR="006C74C3" w:rsidRPr="00E94769" w:rsidRDefault="006C74C3" w:rsidP="006C74C3">
              <w:pPr>
                <w:pStyle w:val="HighlightedBodyText"/>
                <w:rPr>
                  <w:noProof w:val="0"/>
                </w:rPr>
              </w:pPr>
              <w:r w:rsidRPr="00953F5D">
                <w:rPr>
                  <w:noProof w:val="0"/>
                </w:rPr>
                <w:t xml:space="preserve">The </w:t>
              </w:r>
              <w:r>
                <w:rPr>
                  <w:noProof w:val="0"/>
                </w:rPr>
                <w:t>ACT Government is developing a set of wellbeing indicators to help our community better understand and track the drivers of a good life.</w:t>
              </w:r>
            </w:p>
            <w:p w14:paraId="43CEAEA4" w14:textId="77777777" w:rsidR="006C74C3" w:rsidRDefault="006C74C3" w:rsidP="006C74C3">
              <w:pPr>
                <w:pStyle w:val="bodytextreverse"/>
              </w:pPr>
              <w:r>
                <w:t>In the past, measures of progress have typically focussed on economic metrics such as growth in incomes and Gross State Product. Wellbeing indicators mon</w:t>
              </w:r>
              <w:bookmarkStart w:id="1" w:name="_GoBack"/>
              <w:bookmarkEnd w:id="1"/>
              <w:r>
                <w:t>itor our progress across a broader range of areas that matter to the community, like our health, environment and relationships with others.</w:t>
              </w:r>
            </w:p>
            <w:p w14:paraId="6B0E96D4" w14:textId="77777777" w:rsidR="006C74C3" w:rsidRDefault="006C74C3" w:rsidP="006C74C3">
              <w:pPr>
                <w:pStyle w:val="bodytextreverse"/>
              </w:pPr>
              <w:r>
                <w:t>There is no single definition of wellbeing – members of any community will have different perspectives of what affects their quality of life and that of others. However, there are likely to be a range of attributes we value as a community and consider important enough to make a priority. It is these shared values that we aim to capture in the ACT’s wellbeing framework.</w:t>
              </w:r>
            </w:p>
            <w:p w14:paraId="29BD2745" w14:textId="77777777" w:rsidR="006C74C3" w:rsidRDefault="006C74C3" w:rsidP="006C74C3">
              <w:pPr>
                <w:pStyle w:val="bodytextreverse"/>
              </w:pPr>
              <w:r>
                <w:t>The ACT Government has started a conversation with the community about whatmatters for wellbeing and how we should measure or track this in the years to come. Our indicators will be able to measure our progress over time and highlight those areas where progress hasn’t been evenly felt.</w:t>
              </w:r>
            </w:p>
            <w:p w14:paraId="58985D67" w14:textId="77777777" w:rsidR="006C74C3" w:rsidRPr="00E94769" w:rsidRDefault="006C74C3" w:rsidP="006C74C3">
              <w:pPr>
                <w:pStyle w:val="bodytextreverse"/>
              </w:pPr>
              <w:r>
                <w:t>The aim is to have a set of indicators which can be tracked at the Territory level, as well as on a more disaggregated basis like geographic areas and particular community cohorts. This will be important to ensure we are able to properly see and understand the full range of life experiences people have within our community.</w:t>
              </w:r>
            </w:p>
            <w:p w14:paraId="536ABA96" w14:textId="77777777" w:rsidR="00763251" w:rsidRPr="00E94769" w:rsidRDefault="00763251" w:rsidP="005B7E65">
              <w:pPr>
                <w:pStyle w:val="Heading2"/>
                <w:spacing w:before="360"/>
              </w:pPr>
              <w:r w:rsidRPr="00E94769">
                <w:t xml:space="preserve">THE </w:t>
              </w:r>
              <w:r w:rsidRPr="00E94769">
                <w:rPr>
                  <w:rStyle w:val="Heading2Char"/>
                  <w:caps/>
                </w:rPr>
                <w:t>CONVERSATION</w:t>
              </w:r>
            </w:p>
            <w:p w14:paraId="7A9A6189" w14:textId="2F21208B" w:rsidR="00C157FC" w:rsidRDefault="00C157FC" w:rsidP="00C157FC">
              <w:pPr>
                <w:pStyle w:val="HighlightedBodyText"/>
                <w:rPr>
                  <w:noProof w:val="0"/>
                </w:rPr>
              </w:pPr>
              <w:r w:rsidRPr="008058BB">
                <w:rPr>
                  <w:noProof w:val="0"/>
                </w:rPr>
                <w:t xml:space="preserve">On Tuesday </w:t>
              </w:r>
              <w:r>
                <w:rPr>
                  <w:noProof w:val="0"/>
                </w:rPr>
                <w:t>9</w:t>
              </w:r>
              <w:r w:rsidRPr="00C157FC">
                <w:rPr>
                  <w:noProof w:val="0"/>
                  <w:vertAlign w:val="superscript"/>
                </w:rPr>
                <w:t>th</w:t>
              </w:r>
              <w:r>
                <w:rPr>
                  <w:noProof w:val="0"/>
                </w:rPr>
                <w:t xml:space="preserve"> </w:t>
              </w:r>
              <w:r w:rsidRPr="008058BB">
                <w:rPr>
                  <w:noProof w:val="0"/>
                </w:rPr>
                <w:t xml:space="preserve">July </w:t>
              </w:r>
              <w:r>
                <w:rPr>
                  <w:noProof w:val="0"/>
                </w:rPr>
                <w:t>2019, as part of series of similar sessions, we held</w:t>
              </w:r>
              <w:r w:rsidRPr="008058BB">
                <w:rPr>
                  <w:noProof w:val="0"/>
                </w:rPr>
                <w:t xml:space="preserve"> a facilitated roundtable </w:t>
              </w:r>
              <w:r>
                <w:rPr>
                  <w:noProof w:val="0"/>
                </w:rPr>
                <w:t xml:space="preserve">with </w:t>
              </w:r>
              <w:r w:rsidRPr="008058BB">
                <w:rPr>
                  <w:noProof w:val="0"/>
                </w:rPr>
                <w:t>representatives of groups which provide services, advocacy or support within a variety of sector</w:t>
              </w:r>
              <w:r>
                <w:rPr>
                  <w:noProof w:val="0"/>
                </w:rPr>
                <w:t>s</w:t>
              </w:r>
              <w:r w:rsidRPr="008058BB">
                <w:rPr>
                  <w:noProof w:val="0"/>
                </w:rPr>
                <w:t xml:space="preserve"> </w:t>
              </w:r>
              <w:r>
                <w:rPr>
                  <w:noProof w:val="0"/>
                </w:rPr>
                <w:t>in Canberra</w:t>
              </w:r>
              <w:r w:rsidRPr="008058BB">
                <w:rPr>
                  <w:noProof w:val="0"/>
                </w:rPr>
                <w:t>.</w:t>
              </w:r>
            </w:p>
            <w:p w14:paraId="0F9CB53D" w14:textId="715066CF" w:rsidR="00C157FC" w:rsidRDefault="00C157FC" w:rsidP="00C157FC">
              <w:pPr>
                <w:pStyle w:val="bodytextreverse"/>
                <w:rPr>
                  <w:noProof w:val="0"/>
                </w:rPr>
              </w:pPr>
              <w:r>
                <w:rPr>
                  <w:noProof w:val="0"/>
                </w:rPr>
                <w:t>The roundtable considered Canberra’s values and how Canberra’s wellbeing could be described at the moment. Through group exercises, participants identified key descriptions of wellbeing and ways these descriptions could be measured.</w:t>
              </w:r>
            </w:p>
            <w:p w14:paraId="1B284365" w14:textId="3B637A85" w:rsidR="006C74C3" w:rsidRPr="000D1814" w:rsidRDefault="00C157FC" w:rsidP="00C157FC">
              <w:pPr>
                <w:pStyle w:val="HighlightedBodyText"/>
                <w:rPr>
                  <w:b w:val="0"/>
                  <w:noProof w:val="0"/>
                </w:rPr>
                <w:sectPr w:rsidR="006C74C3" w:rsidRPr="000D1814" w:rsidSect="003E6503">
                  <w:headerReference w:type="default" r:id="rId12"/>
                  <w:footerReference w:type="default" r:id="rId13"/>
                  <w:headerReference w:type="first" r:id="rId14"/>
                  <w:footerReference w:type="first" r:id="rId15"/>
                  <w:pgSz w:w="11906" w:h="16838" w:code="9"/>
                  <w:pgMar w:top="3426" w:right="707" w:bottom="1276" w:left="851" w:header="709" w:footer="0" w:gutter="0"/>
                  <w:cols w:space="282"/>
                  <w:titlePg/>
                  <w:docGrid w:linePitch="360"/>
                </w:sectPr>
              </w:pPr>
              <w:r w:rsidRPr="00EF625D">
                <w:rPr>
                  <w:b w:val="0"/>
                  <w:noProof w:val="0"/>
                  <w:color w:val="000000" w:themeColor="text1"/>
                </w:rPr>
                <w:t xml:space="preserve">These conversations took place to help us understand what matters to Canberrans when it comes to quality of life and the </w:t>
              </w:r>
              <w:r>
                <w:rPr>
                  <w:b w:val="0"/>
                  <w:noProof w:val="0"/>
                  <w:color w:val="000000" w:themeColor="text1"/>
                </w:rPr>
                <w:t xml:space="preserve">drivers of </w:t>
              </w:r>
              <w:r w:rsidRPr="00EF625D">
                <w:rPr>
                  <w:b w:val="0"/>
                  <w:noProof w:val="0"/>
                  <w:color w:val="000000" w:themeColor="text1"/>
                </w:rPr>
                <w:t xml:space="preserve">our wellbeing. This was </w:t>
              </w:r>
              <w:r>
                <w:rPr>
                  <w:b w:val="0"/>
                  <w:noProof w:val="0"/>
                  <w:color w:val="000000" w:themeColor="text1"/>
                </w:rPr>
                <w:t xml:space="preserve">part of </w:t>
              </w:r>
              <w:r w:rsidRPr="00EF625D">
                <w:rPr>
                  <w:b w:val="0"/>
                  <w:noProof w:val="0"/>
                  <w:color w:val="000000" w:themeColor="text1"/>
                </w:rPr>
                <w:t>the first phase of development for our ACT Wellbeing Indicators, and stakeholders will be actively invited to participate and have their say through all phases of engagement</w:t>
              </w:r>
              <w:r>
                <w:rPr>
                  <w:b w:val="0"/>
                  <w:noProof w:val="0"/>
                  <w:color w:val="000000" w:themeColor="text1"/>
                </w:rPr>
                <w:t>.</w:t>
              </w:r>
            </w:p>
            <w:tbl>
              <w:tblPr>
                <w:tblStyle w:val="ColorfulList-Accent5"/>
                <w:tblW w:w="0" w:type="auto"/>
                <w:tblLook w:val="04A0" w:firstRow="1" w:lastRow="0" w:firstColumn="1" w:lastColumn="0" w:noHBand="0" w:noVBand="1"/>
              </w:tblPr>
              <w:tblGrid>
                <w:gridCol w:w="10348"/>
              </w:tblGrid>
              <w:tr w:rsidR="00763251" w:rsidRPr="00E94769" w14:paraId="28618403" w14:textId="77777777" w:rsidTr="00A12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646240EC" w14:textId="77777777" w:rsidR="00763251" w:rsidRPr="00E94769" w:rsidRDefault="00763251" w:rsidP="00BA103B">
                    <w:pPr>
                      <w:pStyle w:val="Tableheadbold"/>
                    </w:pPr>
                    <w:r>
                      <w:lastRenderedPageBreak/>
                      <w:t>The roundtable identified general areas of wellbeing in the ACT which included:</w:t>
                    </w:r>
                    <w:r w:rsidRPr="00E94769">
                      <w:t xml:space="preserve">  </w:t>
                    </w:r>
                  </w:p>
                </w:tc>
              </w:tr>
              <w:tr w:rsidR="00763251" w:rsidRPr="006E46CD" w14:paraId="6152BF3D" w14:textId="77777777" w:rsidTr="00BD3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40123E9B" w14:textId="77777777" w:rsidR="00763251" w:rsidRDefault="00763251" w:rsidP="00BD3AF3">
                    <w:pPr>
                      <w:pStyle w:val="Bullet1"/>
                      <w:numPr>
                        <w:ilvl w:val="0"/>
                        <w:numId w:val="0"/>
                      </w:numPr>
                      <w:suppressAutoHyphens/>
                      <w:spacing w:before="60" w:line="260" w:lineRule="atLeast"/>
                      <w:ind w:left="357" w:hanging="357"/>
                    </w:pPr>
                    <w:r>
                      <w:t>Civic engagement | Governance</w:t>
                    </w:r>
                  </w:p>
                  <w:p w14:paraId="16F8A025" w14:textId="77777777" w:rsidR="00763251" w:rsidRPr="00037313" w:rsidRDefault="00763251" w:rsidP="00BD3AF3">
                    <w:pPr>
                      <w:pStyle w:val="bodytextreverse"/>
                      <w:numPr>
                        <w:ilvl w:val="0"/>
                        <w:numId w:val="8"/>
                      </w:numPr>
                      <w:rPr>
                        <w:b w:val="0"/>
                        <w:noProof w:val="0"/>
                        <w:color w:val="auto"/>
                        <w:szCs w:val="22"/>
                      </w:rPr>
                    </w:pPr>
                    <w:r w:rsidRPr="009A571E">
                      <w:rPr>
                        <w:b w:val="0"/>
                        <w:noProof w:val="0"/>
                        <w:color w:val="auto"/>
                        <w:szCs w:val="22"/>
                      </w:rPr>
                      <w:t>Recognise the relationship between civic engagement and community connectedness</w:t>
                    </w:r>
                  </w:p>
                  <w:p w14:paraId="5B246B21" w14:textId="77777777" w:rsidR="00763251" w:rsidRPr="009A571E" w:rsidRDefault="00763251" w:rsidP="00BD3AF3">
                    <w:pPr>
                      <w:pStyle w:val="bodytextreverse"/>
                      <w:numPr>
                        <w:ilvl w:val="0"/>
                        <w:numId w:val="8"/>
                      </w:numPr>
                      <w:rPr>
                        <w:b w:val="0"/>
                        <w:noProof w:val="0"/>
                        <w:color w:val="auto"/>
                        <w:szCs w:val="22"/>
                      </w:rPr>
                    </w:pPr>
                    <w:r>
                      <w:rPr>
                        <w:b w:val="0"/>
                        <w:noProof w:val="0"/>
                        <w:color w:val="auto"/>
                        <w:szCs w:val="22"/>
                      </w:rPr>
                      <w:t>Improved decision making at all levels for all members of the community</w:t>
                    </w:r>
                  </w:p>
                  <w:p w14:paraId="1F2EB9F7" w14:textId="77777777" w:rsidR="00763251" w:rsidRPr="00037313" w:rsidRDefault="00763251" w:rsidP="00BD3AF3">
                    <w:pPr>
                      <w:pStyle w:val="bodytextreverse"/>
                      <w:numPr>
                        <w:ilvl w:val="0"/>
                        <w:numId w:val="8"/>
                      </w:numPr>
                      <w:rPr>
                        <w:b w:val="0"/>
                        <w:noProof w:val="0"/>
                        <w:color w:val="auto"/>
                        <w:sz w:val="20"/>
                        <w:szCs w:val="20"/>
                      </w:rPr>
                    </w:pPr>
                    <w:r>
                      <w:rPr>
                        <w:b w:val="0"/>
                        <w:noProof w:val="0"/>
                        <w:color w:val="auto"/>
                        <w:szCs w:val="22"/>
                      </w:rPr>
                      <w:t>Increased involvement of children and young people in engagement activities</w:t>
                    </w:r>
                  </w:p>
                  <w:p w14:paraId="5EA0FE90" w14:textId="77777777" w:rsidR="00763251" w:rsidRPr="009752FE" w:rsidRDefault="00763251" w:rsidP="00BD3AF3">
                    <w:pPr>
                      <w:pStyle w:val="bodytextreverse"/>
                      <w:numPr>
                        <w:ilvl w:val="0"/>
                        <w:numId w:val="8"/>
                      </w:numPr>
                      <w:rPr>
                        <w:b w:val="0"/>
                        <w:noProof w:val="0"/>
                        <w:color w:val="auto"/>
                        <w:sz w:val="20"/>
                        <w:szCs w:val="20"/>
                      </w:rPr>
                    </w:pPr>
                    <w:r w:rsidRPr="00037313">
                      <w:rPr>
                        <w:b w:val="0"/>
                        <w:noProof w:val="0"/>
                        <w:color w:val="auto"/>
                        <w:szCs w:val="22"/>
                      </w:rPr>
                      <w:t>Decrease in recidivism and access to justice and legal support</w:t>
                    </w:r>
                    <w:r>
                      <w:rPr>
                        <w:b w:val="0"/>
                        <w:noProof w:val="0"/>
                        <w:color w:val="auto"/>
                        <w:sz w:val="20"/>
                        <w:szCs w:val="20"/>
                      </w:rPr>
                      <w:t xml:space="preserve"> </w:t>
                    </w:r>
                  </w:p>
                </w:tc>
              </w:tr>
              <w:tr w:rsidR="00763251" w:rsidRPr="00E94769" w14:paraId="12E6B5F8" w14:textId="77777777" w:rsidTr="00A12B38">
                <w:tc>
                  <w:tcPr>
                    <w:cnfStyle w:val="001000000000" w:firstRow="0" w:lastRow="0" w:firstColumn="1" w:lastColumn="0" w:oddVBand="0" w:evenVBand="0" w:oddHBand="0" w:evenHBand="0" w:firstRowFirstColumn="0" w:firstRowLastColumn="0" w:lastRowFirstColumn="0" w:lastRowLastColumn="0"/>
                    <w:tcW w:w="10348" w:type="dxa"/>
                  </w:tcPr>
                  <w:p w14:paraId="3E7F7AB3" w14:textId="77777777" w:rsidR="00763251" w:rsidRDefault="00763251" w:rsidP="00FF2094">
                    <w:pPr>
                      <w:pStyle w:val="Bullet1"/>
                      <w:numPr>
                        <w:ilvl w:val="0"/>
                        <w:numId w:val="0"/>
                      </w:numPr>
                      <w:suppressAutoHyphens/>
                      <w:spacing w:before="60" w:line="260" w:lineRule="atLeast"/>
                      <w:ind w:left="357" w:hanging="357"/>
                    </w:pPr>
                    <w:r w:rsidRPr="00193F82">
                      <w:t xml:space="preserve">Connected community | </w:t>
                    </w:r>
                    <w:r>
                      <w:t>E</w:t>
                    </w:r>
                    <w:r w:rsidRPr="00193F82">
                      <w:t xml:space="preserve">quality </w:t>
                    </w:r>
                    <w:r w:rsidRPr="00417786">
                      <w:t>and inclusion</w:t>
                    </w:r>
                    <w:r w:rsidRPr="00193F82">
                      <w:t xml:space="preserve"> | </w:t>
                    </w:r>
                    <w:r>
                      <w:t>T</w:t>
                    </w:r>
                    <w:r w:rsidRPr="00193F82">
                      <w:t>ranspor</w:t>
                    </w:r>
                    <w:r>
                      <w:t>t</w:t>
                    </w:r>
                  </w:p>
                  <w:p w14:paraId="3B930250" w14:textId="77777777" w:rsidR="00763251" w:rsidRPr="001A62C8" w:rsidRDefault="00763251" w:rsidP="00763251">
                    <w:pPr>
                      <w:pStyle w:val="bodytextreverse"/>
                      <w:numPr>
                        <w:ilvl w:val="0"/>
                        <w:numId w:val="30"/>
                      </w:numPr>
                      <w:rPr>
                        <w:b w:val="0"/>
                        <w:bCs w:val="0"/>
                        <w:noProof w:val="0"/>
                      </w:rPr>
                    </w:pPr>
                    <w:r>
                      <w:rPr>
                        <w:b w:val="0"/>
                        <w:bCs w:val="0"/>
                        <w:noProof w:val="0"/>
                      </w:rPr>
                      <w:t>Sense of belonging and being valued</w:t>
                    </w:r>
                  </w:p>
                  <w:p w14:paraId="11CC9660" w14:textId="77777777" w:rsidR="00763251" w:rsidRPr="00306542" w:rsidRDefault="00763251" w:rsidP="00763251">
                    <w:pPr>
                      <w:pStyle w:val="bodytextreverse"/>
                      <w:numPr>
                        <w:ilvl w:val="0"/>
                        <w:numId w:val="30"/>
                      </w:numPr>
                      <w:rPr>
                        <w:b w:val="0"/>
                        <w:bCs w:val="0"/>
                        <w:noProof w:val="0"/>
                      </w:rPr>
                    </w:pPr>
                    <w:r w:rsidRPr="005B7E65">
                      <w:rPr>
                        <w:b w:val="0"/>
                        <w:bCs w:val="0"/>
                        <w:noProof w:val="0"/>
                      </w:rPr>
                      <w:t xml:space="preserve">Access for all to affordable places to meet and interact, ability to participate in activities; sporting, music hubs, hobbies, interests </w:t>
                    </w:r>
                    <w:proofErr w:type="spellStart"/>
                    <w:r w:rsidRPr="005B7E65">
                      <w:rPr>
                        <w:b w:val="0"/>
                        <w:bCs w:val="0"/>
                        <w:noProof w:val="0"/>
                      </w:rPr>
                      <w:t>etc</w:t>
                    </w:r>
                    <w:proofErr w:type="spellEnd"/>
                  </w:p>
                  <w:p w14:paraId="70B19625" w14:textId="77777777" w:rsidR="00763251" w:rsidRPr="00D93A5B" w:rsidRDefault="00763251" w:rsidP="00763251">
                    <w:pPr>
                      <w:pStyle w:val="bodytextreverse"/>
                      <w:numPr>
                        <w:ilvl w:val="0"/>
                        <w:numId w:val="30"/>
                      </w:numPr>
                      <w:rPr>
                        <w:b w:val="0"/>
                        <w:bCs w:val="0"/>
                        <w:noProof w:val="0"/>
                      </w:rPr>
                    </w:pPr>
                    <w:r>
                      <w:rPr>
                        <w:b w:val="0"/>
                        <w:bCs w:val="0"/>
                        <w:noProof w:val="0"/>
                      </w:rPr>
                      <w:t>Better interaction across gender, age and demographic groups</w:t>
                    </w:r>
                  </w:p>
                  <w:p w14:paraId="67DA0F43" w14:textId="77777777" w:rsidR="00763251" w:rsidRPr="00CF1578" w:rsidRDefault="00763251" w:rsidP="00763251">
                    <w:pPr>
                      <w:pStyle w:val="bodytextreverse"/>
                      <w:numPr>
                        <w:ilvl w:val="0"/>
                        <w:numId w:val="30"/>
                      </w:numPr>
                      <w:rPr>
                        <w:b w:val="0"/>
                        <w:bCs w:val="0"/>
                        <w:noProof w:val="0"/>
                      </w:rPr>
                    </w:pPr>
                    <w:r>
                      <w:rPr>
                        <w:b w:val="0"/>
                        <w:bCs w:val="0"/>
                        <w:noProof w:val="0"/>
                      </w:rPr>
                      <w:t>Local storytelling encouraged; engaged local media</w:t>
                    </w:r>
                  </w:p>
                  <w:p w14:paraId="33886711" w14:textId="77777777" w:rsidR="00763251" w:rsidRPr="00E94B80" w:rsidRDefault="00763251" w:rsidP="00763251">
                    <w:pPr>
                      <w:pStyle w:val="bodytextreverse"/>
                      <w:numPr>
                        <w:ilvl w:val="0"/>
                        <w:numId w:val="30"/>
                      </w:numPr>
                      <w:rPr>
                        <w:b w:val="0"/>
                        <w:bCs w:val="0"/>
                      </w:rPr>
                    </w:pPr>
                    <w:r>
                      <w:rPr>
                        <w:b w:val="0"/>
                        <w:bCs w:val="0"/>
                        <w:noProof w:val="0"/>
                      </w:rPr>
                      <w:t>Access to active travel and frequent public transport across the city; affordable fares and night-time services</w:t>
                    </w:r>
                  </w:p>
                </w:tc>
              </w:tr>
              <w:tr w:rsidR="00763251" w:rsidRPr="00E94769" w14:paraId="5B0E0C7B" w14:textId="77777777" w:rsidTr="00BD3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37DFA6D0" w14:textId="77777777" w:rsidR="00763251" w:rsidRDefault="00763251" w:rsidP="00BD3AF3">
                    <w:pPr>
                      <w:pStyle w:val="Bullet1"/>
                      <w:numPr>
                        <w:ilvl w:val="0"/>
                        <w:numId w:val="0"/>
                      </w:numPr>
                      <w:suppressAutoHyphens/>
                      <w:spacing w:before="60" w:line="260" w:lineRule="atLeast"/>
                      <w:ind w:left="357" w:hanging="357"/>
                    </w:pPr>
                    <w:r>
                      <w:t xml:space="preserve">Cultural connection | Identity | Indigenous </w:t>
                    </w:r>
                  </w:p>
                  <w:p w14:paraId="1A0F4A7D" w14:textId="77777777" w:rsidR="00763251" w:rsidRPr="005F46F1" w:rsidRDefault="00763251" w:rsidP="00763251">
                    <w:pPr>
                      <w:pStyle w:val="bodytextreverse"/>
                      <w:numPr>
                        <w:ilvl w:val="0"/>
                        <w:numId w:val="30"/>
                      </w:numPr>
                      <w:rPr>
                        <w:b w:val="0"/>
                        <w:bCs w:val="0"/>
                        <w:noProof w:val="0"/>
                      </w:rPr>
                    </w:pPr>
                    <w:r w:rsidRPr="005B7E65">
                      <w:rPr>
                        <w:b w:val="0"/>
                        <w:bCs w:val="0"/>
                        <w:noProof w:val="0"/>
                      </w:rPr>
                      <w:t>Increased cultural awareness, competency, inclusion and safety across the community, indigenous, refugees, migrants, gender diversity</w:t>
                    </w:r>
                  </w:p>
                  <w:p w14:paraId="57A9577A" w14:textId="77777777" w:rsidR="00763251" w:rsidRPr="00CF1578" w:rsidRDefault="00763251" w:rsidP="00763251">
                    <w:pPr>
                      <w:pStyle w:val="bodytextreverse"/>
                      <w:numPr>
                        <w:ilvl w:val="0"/>
                        <w:numId w:val="30"/>
                      </w:numPr>
                      <w:rPr>
                        <w:b w:val="0"/>
                        <w:bCs w:val="0"/>
                        <w:noProof w:val="0"/>
                      </w:rPr>
                    </w:pPr>
                    <w:r w:rsidRPr="00CF1578">
                      <w:rPr>
                        <w:b w:val="0"/>
                        <w:bCs w:val="0"/>
                        <w:noProof w:val="0"/>
                      </w:rPr>
                      <w:t>Build cohesive sense of identity that respects and includes Aboriginal and Torres Strait Islander people</w:t>
                    </w:r>
                  </w:p>
                  <w:p w14:paraId="168DDAC2" w14:textId="77777777" w:rsidR="00763251" w:rsidRPr="005F1955" w:rsidRDefault="00763251" w:rsidP="00763251">
                    <w:pPr>
                      <w:pStyle w:val="bodytextreverse"/>
                      <w:numPr>
                        <w:ilvl w:val="0"/>
                        <w:numId w:val="30"/>
                      </w:numPr>
                      <w:rPr>
                        <w:b w:val="0"/>
                        <w:bCs w:val="0"/>
                        <w:noProof w:val="0"/>
                        <w:color w:val="auto"/>
                      </w:rPr>
                    </w:pPr>
                    <w:r w:rsidRPr="005B7E65">
                      <w:rPr>
                        <w:b w:val="0"/>
                        <w:bCs w:val="0"/>
                        <w:noProof w:val="0"/>
                      </w:rPr>
                      <w:t>Indigenous families have equal life outcomes; suicide rates, incarceration rates, out-of-home care, access and inclusion</w:t>
                    </w:r>
                  </w:p>
                </w:tc>
              </w:tr>
              <w:tr w:rsidR="00763251" w:rsidRPr="00E94769" w14:paraId="442CFD2D" w14:textId="77777777" w:rsidTr="00A12B38">
                <w:tc>
                  <w:tcPr>
                    <w:cnfStyle w:val="001000000000" w:firstRow="0" w:lastRow="0" w:firstColumn="1" w:lastColumn="0" w:oddVBand="0" w:evenVBand="0" w:oddHBand="0" w:evenHBand="0" w:firstRowFirstColumn="0" w:firstRowLastColumn="0" w:lastRowFirstColumn="0" w:lastRowLastColumn="0"/>
                    <w:tcW w:w="10348" w:type="dxa"/>
                  </w:tcPr>
                  <w:p w14:paraId="4501B9E1" w14:textId="77777777" w:rsidR="00763251" w:rsidRDefault="00763251" w:rsidP="002D41D4">
                    <w:pPr>
                      <w:pStyle w:val="Bullet1"/>
                      <w:numPr>
                        <w:ilvl w:val="0"/>
                        <w:numId w:val="0"/>
                      </w:numPr>
                      <w:suppressAutoHyphens/>
                      <w:spacing w:before="60" w:line="260" w:lineRule="atLeast"/>
                      <w:ind w:left="357" w:hanging="357"/>
                    </w:pPr>
                    <w:r w:rsidRPr="00C81498">
                      <w:t xml:space="preserve">Environment </w:t>
                    </w:r>
                    <w:r>
                      <w:t>and climate change</w:t>
                    </w:r>
                    <w:r w:rsidRPr="00C81498">
                      <w:t xml:space="preserve"> </w:t>
                    </w:r>
                  </w:p>
                  <w:p w14:paraId="6E44B57E" w14:textId="77777777" w:rsidR="00763251" w:rsidRPr="004B2993" w:rsidRDefault="00763251" w:rsidP="00763251">
                    <w:pPr>
                      <w:pStyle w:val="bodytextreverse"/>
                      <w:numPr>
                        <w:ilvl w:val="0"/>
                        <w:numId w:val="30"/>
                      </w:numPr>
                      <w:rPr>
                        <w:b w:val="0"/>
                        <w:noProof w:val="0"/>
                        <w:color w:val="auto"/>
                        <w:szCs w:val="22"/>
                      </w:rPr>
                    </w:pPr>
                    <w:r>
                      <w:rPr>
                        <w:b w:val="0"/>
                        <w:noProof w:val="0"/>
                        <w:color w:val="auto"/>
                        <w:szCs w:val="22"/>
                      </w:rPr>
                      <w:t xml:space="preserve">Urban planning supports low environmental footprint, integrated walking, cycling, urban parks, access to green spaces, improved energy ratings on buildings </w:t>
                    </w:r>
                  </w:p>
                  <w:p w14:paraId="5CF38AEC" w14:textId="77777777" w:rsidR="00763251" w:rsidRPr="00F01109" w:rsidRDefault="00763251" w:rsidP="00763251">
                    <w:pPr>
                      <w:pStyle w:val="bodytextreverse"/>
                      <w:numPr>
                        <w:ilvl w:val="0"/>
                        <w:numId w:val="30"/>
                      </w:numPr>
                      <w:rPr>
                        <w:b w:val="0"/>
                        <w:noProof w:val="0"/>
                        <w:color w:val="auto"/>
                        <w:szCs w:val="22"/>
                      </w:rPr>
                    </w:pPr>
                    <w:r>
                      <w:rPr>
                        <w:b w:val="0"/>
                        <w:noProof w:val="0"/>
                        <w:color w:val="auto"/>
                        <w:szCs w:val="22"/>
                      </w:rPr>
                      <w:t xml:space="preserve">Increased personal responsibility, such as reducing use of plastics, improved recycling, impacts on waterways </w:t>
                    </w:r>
                    <w:proofErr w:type="spellStart"/>
                    <w:r>
                      <w:rPr>
                        <w:b w:val="0"/>
                        <w:noProof w:val="0"/>
                        <w:color w:val="auto"/>
                        <w:szCs w:val="22"/>
                      </w:rPr>
                      <w:t>etc</w:t>
                    </w:r>
                    <w:proofErr w:type="spellEnd"/>
                  </w:p>
                  <w:p w14:paraId="06256C29" w14:textId="77777777" w:rsidR="00763251" w:rsidRPr="00767136" w:rsidRDefault="00763251" w:rsidP="00763251">
                    <w:pPr>
                      <w:pStyle w:val="bodytextreverse"/>
                      <w:numPr>
                        <w:ilvl w:val="0"/>
                        <w:numId w:val="30"/>
                      </w:numPr>
                      <w:rPr>
                        <w:b w:val="0"/>
                        <w:noProof w:val="0"/>
                        <w:color w:val="auto"/>
                        <w:szCs w:val="22"/>
                      </w:rPr>
                    </w:pPr>
                    <w:r>
                      <w:rPr>
                        <w:b w:val="0"/>
                        <w:noProof w:val="0"/>
                        <w:color w:val="auto"/>
                        <w:szCs w:val="22"/>
                      </w:rPr>
                      <w:t>Improved biodiversity and healthy population of threatened and endangered species</w:t>
                    </w:r>
                  </w:p>
                  <w:p w14:paraId="64B30E00" w14:textId="77777777" w:rsidR="00763251" w:rsidRPr="009A5752" w:rsidRDefault="00763251" w:rsidP="00763251">
                    <w:pPr>
                      <w:pStyle w:val="bodytextreverse"/>
                      <w:numPr>
                        <w:ilvl w:val="0"/>
                        <w:numId w:val="30"/>
                      </w:numPr>
                      <w:rPr>
                        <w:b w:val="0"/>
                        <w:noProof w:val="0"/>
                        <w:color w:val="auto"/>
                        <w:szCs w:val="22"/>
                      </w:rPr>
                    </w:pPr>
                    <w:r>
                      <w:rPr>
                        <w:b w:val="0"/>
                        <w:noProof w:val="0"/>
                        <w:color w:val="auto"/>
                        <w:szCs w:val="22"/>
                      </w:rPr>
                      <w:t>Access to efficient and renewable energy</w:t>
                    </w:r>
                  </w:p>
                </w:tc>
              </w:tr>
              <w:tr w:rsidR="00763251" w:rsidRPr="006D4518" w14:paraId="6D546864" w14:textId="77777777" w:rsidTr="00C84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0CF985C3" w14:textId="77777777" w:rsidR="00763251" w:rsidRDefault="00763251" w:rsidP="0079786E">
                    <w:pPr>
                      <w:pStyle w:val="Bullet1"/>
                      <w:numPr>
                        <w:ilvl w:val="0"/>
                        <w:numId w:val="0"/>
                      </w:numPr>
                      <w:suppressAutoHyphens/>
                      <w:spacing w:before="60" w:line="260" w:lineRule="atLeast"/>
                    </w:pPr>
                    <w:r>
                      <w:t>Education and lifelong learning</w:t>
                    </w:r>
                  </w:p>
                  <w:p w14:paraId="5B8D3838" w14:textId="77777777" w:rsidR="00763251" w:rsidRPr="00762AF2" w:rsidRDefault="00763251" w:rsidP="00C84222">
                    <w:pPr>
                      <w:pStyle w:val="bodytextreverse"/>
                      <w:numPr>
                        <w:ilvl w:val="0"/>
                        <w:numId w:val="8"/>
                      </w:numPr>
                      <w:rPr>
                        <w:b w:val="0"/>
                        <w:noProof w:val="0"/>
                        <w:color w:val="auto"/>
                        <w:szCs w:val="22"/>
                      </w:rPr>
                    </w:pPr>
                    <w:r w:rsidRPr="00762AF2">
                      <w:rPr>
                        <w:b w:val="0"/>
                        <w:noProof w:val="0"/>
                        <w:color w:val="auto"/>
                        <w:szCs w:val="22"/>
                      </w:rPr>
                      <w:t xml:space="preserve">Education opportunities across all ages, regardless of financial status and geographic location </w:t>
                    </w:r>
                  </w:p>
                  <w:p w14:paraId="53B2A6E4" w14:textId="77777777" w:rsidR="00763251" w:rsidRPr="00EE6565" w:rsidRDefault="00763251" w:rsidP="00C84222">
                    <w:pPr>
                      <w:pStyle w:val="bodytextreverse"/>
                      <w:numPr>
                        <w:ilvl w:val="0"/>
                        <w:numId w:val="8"/>
                      </w:numPr>
                      <w:rPr>
                        <w:b w:val="0"/>
                        <w:noProof w:val="0"/>
                        <w:color w:val="auto"/>
                        <w:sz w:val="20"/>
                        <w:szCs w:val="20"/>
                      </w:rPr>
                    </w:pPr>
                    <w:r>
                      <w:rPr>
                        <w:b w:val="0"/>
                        <w:noProof w:val="0"/>
                        <w:color w:val="auto"/>
                        <w:szCs w:val="22"/>
                      </w:rPr>
                      <w:t>Increased investment in early years of education</w:t>
                    </w:r>
                  </w:p>
                  <w:p w14:paraId="07B95DE9" w14:textId="77777777" w:rsidR="00763251" w:rsidRPr="006D4518" w:rsidRDefault="00763251" w:rsidP="00C84222">
                    <w:pPr>
                      <w:pStyle w:val="bodytextreverse"/>
                      <w:numPr>
                        <w:ilvl w:val="0"/>
                        <w:numId w:val="8"/>
                      </w:numPr>
                      <w:rPr>
                        <w:b w:val="0"/>
                        <w:noProof w:val="0"/>
                        <w:color w:val="auto"/>
                        <w:sz w:val="20"/>
                        <w:szCs w:val="20"/>
                      </w:rPr>
                    </w:pPr>
                    <w:r>
                      <w:rPr>
                        <w:b w:val="0"/>
                        <w:noProof w:val="0"/>
                        <w:color w:val="auto"/>
                        <w:szCs w:val="22"/>
                      </w:rPr>
                      <w:t>Education linked to employment opportunities and outside the formal education system</w:t>
                    </w:r>
                  </w:p>
                </w:tc>
              </w:tr>
              <w:tr w:rsidR="00763251" w:rsidRPr="003E4D3D" w14:paraId="5862F251" w14:textId="77777777" w:rsidTr="0089107C">
                <w:tc>
                  <w:tcPr>
                    <w:cnfStyle w:val="001000000000" w:firstRow="0" w:lastRow="0" w:firstColumn="1" w:lastColumn="0" w:oddVBand="0" w:evenVBand="0" w:oddHBand="0" w:evenHBand="0" w:firstRowFirstColumn="0" w:firstRowLastColumn="0" w:lastRowFirstColumn="0" w:lastRowLastColumn="0"/>
                    <w:tcW w:w="10348" w:type="dxa"/>
                  </w:tcPr>
                  <w:p w14:paraId="5A35BFBC" w14:textId="77777777" w:rsidR="00763251" w:rsidRDefault="00763251" w:rsidP="0089107C">
                    <w:pPr>
                      <w:pStyle w:val="Bullet1"/>
                      <w:numPr>
                        <w:ilvl w:val="0"/>
                        <w:numId w:val="0"/>
                      </w:numPr>
                      <w:suppressAutoHyphens/>
                      <w:spacing w:before="60" w:line="260" w:lineRule="atLeast"/>
                      <w:ind w:left="357" w:hanging="357"/>
                      <w:rPr>
                        <w:b w:val="0"/>
                        <w:bCs w:val="0"/>
                      </w:rPr>
                    </w:pPr>
                    <w:r>
                      <w:t xml:space="preserve">Health </w:t>
                    </w:r>
                  </w:p>
                  <w:p w14:paraId="5B096F6E" w14:textId="77777777" w:rsidR="00763251" w:rsidRPr="000F5966" w:rsidRDefault="00763251" w:rsidP="0089107C">
                    <w:pPr>
                      <w:pStyle w:val="bodytextreverse"/>
                      <w:numPr>
                        <w:ilvl w:val="0"/>
                        <w:numId w:val="8"/>
                      </w:numPr>
                      <w:rPr>
                        <w:b w:val="0"/>
                        <w:noProof w:val="0"/>
                        <w:color w:val="auto"/>
                        <w:szCs w:val="22"/>
                      </w:rPr>
                    </w:pPr>
                    <w:r w:rsidRPr="000F5966">
                      <w:rPr>
                        <w:b w:val="0"/>
                        <w:noProof w:val="0"/>
                        <w:color w:val="auto"/>
                        <w:szCs w:val="22"/>
                      </w:rPr>
                      <w:t>Prevention and early detection, including encouraging health behaviours</w:t>
                    </w:r>
                  </w:p>
                  <w:p w14:paraId="1404AA87" w14:textId="77777777" w:rsidR="00763251" w:rsidRPr="000F5966" w:rsidRDefault="00763251" w:rsidP="0089107C">
                    <w:pPr>
                      <w:pStyle w:val="bodytextreverse"/>
                      <w:numPr>
                        <w:ilvl w:val="0"/>
                        <w:numId w:val="8"/>
                      </w:numPr>
                      <w:rPr>
                        <w:b w:val="0"/>
                        <w:noProof w:val="0"/>
                        <w:color w:val="auto"/>
                        <w:szCs w:val="22"/>
                      </w:rPr>
                    </w:pPr>
                    <w:r w:rsidRPr="000F5966">
                      <w:rPr>
                        <w:b w:val="0"/>
                        <w:noProof w:val="0"/>
                        <w:color w:val="auto"/>
                        <w:szCs w:val="22"/>
                      </w:rPr>
                      <w:t>Accessible, timely, quality health care for all</w:t>
                    </w:r>
                  </w:p>
                  <w:p w14:paraId="120EAF2C" w14:textId="77777777" w:rsidR="00763251" w:rsidRPr="00F2547B" w:rsidRDefault="00763251" w:rsidP="0089107C">
                    <w:pPr>
                      <w:pStyle w:val="bodytextreverse"/>
                      <w:numPr>
                        <w:ilvl w:val="0"/>
                        <w:numId w:val="8"/>
                      </w:numPr>
                      <w:rPr>
                        <w:b w:val="0"/>
                        <w:bCs w:val="0"/>
                        <w:noProof w:val="0"/>
                        <w:color w:val="auto"/>
                        <w:sz w:val="20"/>
                        <w:szCs w:val="20"/>
                      </w:rPr>
                    </w:pPr>
                    <w:r w:rsidRPr="000F5966">
                      <w:rPr>
                        <w:b w:val="0"/>
                        <w:noProof w:val="0"/>
                        <w:color w:val="auto"/>
                        <w:szCs w:val="22"/>
                      </w:rPr>
                      <w:t>Improving health outcomes of marginalised groups</w:t>
                    </w:r>
                  </w:p>
                </w:tc>
              </w:tr>
              <w:tr w:rsidR="00763251" w:rsidRPr="00E94769" w14:paraId="6851D274" w14:textId="77777777" w:rsidTr="00891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66F6E444" w14:textId="77777777" w:rsidR="00763251" w:rsidRDefault="00763251" w:rsidP="0089107C">
                    <w:pPr>
                      <w:pStyle w:val="Bullet1"/>
                      <w:numPr>
                        <w:ilvl w:val="0"/>
                        <w:numId w:val="0"/>
                      </w:numPr>
                      <w:suppressAutoHyphens/>
                      <w:spacing w:before="60" w:line="260" w:lineRule="atLeast"/>
                      <w:ind w:left="357" w:hanging="357"/>
                    </w:pPr>
                    <w:r>
                      <w:lastRenderedPageBreak/>
                      <w:t xml:space="preserve">Housing </w:t>
                    </w:r>
                  </w:p>
                  <w:p w14:paraId="289FF28D" w14:textId="77777777" w:rsidR="00763251" w:rsidRPr="006059CD" w:rsidRDefault="00763251" w:rsidP="0089107C">
                    <w:pPr>
                      <w:pStyle w:val="bodytextreverse"/>
                      <w:numPr>
                        <w:ilvl w:val="0"/>
                        <w:numId w:val="8"/>
                      </w:numPr>
                      <w:rPr>
                        <w:b w:val="0"/>
                        <w:noProof w:val="0"/>
                        <w:color w:val="auto"/>
                        <w:szCs w:val="22"/>
                      </w:rPr>
                    </w:pPr>
                    <w:r>
                      <w:rPr>
                        <w:b w:val="0"/>
                        <w:noProof w:val="0"/>
                        <w:color w:val="auto"/>
                        <w:szCs w:val="22"/>
                      </w:rPr>
                      <w:t>Housing is available for all – disability housing, low income, refugee, migrants, homeless</w:t>
                    </w:r>
                  </w:p>
                  <w:p w14:paraId="1B28C9A4" w14:textId="77777777" w:rsidR="00763251" w:rsidRPr="00051FE7" w:rsidRDefault="00763251" w:rsidP="0089107C">
                    <w:pPr>
                      <w:pStyle w:val="bodytextreverse"/>
                      <w:numPr>
                        <w:ilvl w:val="0"/>
                        <w:numId w:val="8"/>
                      </w:numPr>
                      <w:rPr>
                        <w:b w:val="0"/>
                        <w:noProof w:val="0"/>
                        <w:color w:val="auto"/>
                        <w:szCs w:val="22"/>
                      </w:rPr>
                    </w:pPr>
                    <w:r>
                      <w:rPr>
                        <w:b w:val="0"/>
                        <w:noProof w:val="0"/>
                        <w:color w:val="auto"/>
                        <w:szCs w:val="22"/>
                      </w:rPr>
                      <w:t>Amenity of housing is high – location, proximity to public transport, suitable to individual needs, green space and trees</w:t>
                    </w:r>
                  </w:p>
                  <w:p w14:paraId="06CC57D2" w14:textId="77777777" w:rsidR="00763251" w:rsidRPr="0055794D" w:rsidRDefault="00763251" w:rsidP="0089107C">
                    <w:pPr>
                      <w:pStyle w:val="bodytextreverse"/>
                      <w:numPr>
                        <w:ilvl w:val="0"/>
                        <w:numId w:val="8"/>
                      </w:numPr>
                      <w:rPr>
                        <w:b w:val="0"/>
                        <w:noProof w:val="0"/>
                        <w:color w:val="auto"/>
                        <w:sz w:val="20"/>
                        <w:szCs w:val="20"/>
                      </w:rPr>
                    </w:pPr>
                    <w:r>
                      <w:rPr>
                        <w:b w:val="0"/>
                        <w:noProof w:val="0"/>
                        <w:color w:val="auto"/>
                        <w:szCs w:val="22"/>
                      </w:rPr>
                      <w:t>Affordable rental opportunities exist</w:t>
                    </w:r>
                  </w:p>
                </w:tc>
              </w:tr>
              <w:tr w:rsidR="00763251" w:rsidRPr="00E94769" w14:paraId="41C7C97B" w14:textId="77777777" w:rsidTr="00A12B38">
                <w:tc>
                  <w:tcPr>
                    <w:cnfStyle w:val="001000000000" w:firstRow="0" w:lastRow="0" w:firstColumn="1" w:lastColumn="0" w:oddVBand="0" w:evenVBand="0" w:oddHBand="0" w:evenHBand="0" w:firstRowFirstColumn="0" w:firstRowLastColumn="0" w:lastRowFirstColumn="0" w:lastRowLastColumn="0"/>
                    <w:tcW w:w="10348" w:type="dxa"/>
                  </w:tcPr>
                  <w:p w14:paraId="26038AB4" w14:textId="77777777" w:rsidR="00763251" w:rsidRPr="005E3E62" w:rsidRDefault="00763251" w:rsidP="005E3E62">
                    <w:pPr>
                      <w:pStyle w:val="Bullet1"/>
                      <w:numPr>
                        <w:ilvl w:val="0"/>
                        <w:numId w:val="0"/>
                      </w:numPr>
                      <w:suppressAutoHyphens/>
                      <w:spacing w:before="60" w:line="260" w:lineRule="atLeast"/>
                      <w:ind w:left="357" w:hanging="357"/>
                    </w:pPr>
                    <w:r w:rsidRPr="00767DBA">
                      <w:t xml:space="preserve">Living standards | </w:t>
                    </w:r>
                    <w:r>
                      <w:t>E</w:t>
                    </w:r>
                    <w:r w:rsidRPr="00767DBA">
                      <w:t>conomic</w:t>
                    </w:r>
                    <w:r w:rsidRPr="005E3E62">
                      <w:t xml:space="preserve"> </w:t>
                    </w:r>
                  </w:p>
                  <w:p w14:paraId="70ECD7B5" w14:textId="77777777" w:rsidR="00763251" w:rsidRPr="00947F60" w:rsidRDefault="00763251" w:rsidP="00947F60">
                    <w:pPr>
                      <w:pStyle w:val="bodytextreverse"/>
                      <w:numPr>
                        <w:ilvl w:val="0"/>
                        <w:numId w:val="8"/>
                      </w:numPr>
                      <w:rPr>
                        <w:b w:val="0"/>
                        <w:noProof w:val="0"/>
                        <w:color w:val="auto"/>
                        <w:szCs w:val="22"/>
                      </w:rPr>
                    </w:pPr>
                    <w:r>
                      <w:rPr>
                        <w:b w:val="0"/>
                        <w:noProof w:val="0"/>
                        <w:color w:val="auto"/>
                        <w:szCs w:val="22"/>
                      </w:rPr>
                      <w:t>Economic independence; capacity to provide for family</w:t>
                    </w:r>
                  </w:p>
                  <w:p w14:paraId="491C1D0F" w14:textId="77777777" w:rsidR="00763251" w:rsidRPr="005134CC" w:rsidRDefault="00763251" w:rsidP="00947F60">
                    <w:pPr>
                      <w:pStyle w:val="bodytextreverse"/>
                      <w:numPr>
                        <w:ilvl w:val="0"/>
                        <w:numId w:val="8"/>
                      </w:numPr>
                      <w:rPr>
                        <w:b w:val="0"/>
                        <w:noProof w:val="0"/>
                        <w:color w:val="auto"/>
                        <w:szCs w:val="22"/>
                      </w:rPr>
                    </w:pPr>
                    <w:r>
                      <w:rPr>
                        <w:b w:val="0"/>
                        <w:noProof w:val="0"/>
                        <w:color w:val="auto"/>
                        <w:szCs w:val="22"/>
                      </w:rPr>
                      <w:t xml:space="preserve">Satisfaction and meaningful contribution – employment, volunteering, carer </w:t>
                    </w:r>
                    <w:proofErr w:type="spellStart"/>
                    <w:r>
                      <w:rPr>
                        <w:b w:val="0"/>
                        <w:noProof w:val="0"/>
                        <w:color w:val="auto"/>
                        <w:szCs w:val="22"/>
                      </w:rPr>
                      <w:t>etc</w:t>
                    </w:r>
                    <w:proofErr w:type="spellEnd"/>
                  </w:p>
                  <w:p w14:paraId="5693AE47" w14:textId="77777777" w:rsidR="00763251" w:rsidRPr="00D918C2" w:rsidRDefault="00763251" w:rsidP="00F02BF0">
                    <w:pPr>
                      <w:pStyle w:val="bodytextreverse"/>
                      <w:numPr>
                        <w:ilvl w:val="0"/>
                        <w:numId w:val="8"/>
                      </w:numPr>
                      <w:rPr>
                        <w:b w:val="0"/>
                        <w:noProof w:val="0"/>
                        <w:color w:val="auto"/>
                        <w:sz w:val="20"/>
                        <w:szCs w:val="20"/>
                      </w:rPr>
                    </w:pPr>
                    <w:r w:rsidRPr="00F02BF0">
                      <w:rPr>
                        <w:b w:val="0"/>
                        <w:noProof w:val="0"/>
                        <w:color w:val="auto"/>
                        <w:szCs w:val="22"/>
                      </w:rPr>
                      <w:t xml:space="preserve">Access to services – </w:t>
                    </w:r>
                    <w:r>
                      <w:rPr>
                        <w:b w:val="0"/>
                        <w:noProof w:val="0"/>
                        <w:color w:val="auto"/>
                        <w:szCs w:val="22"/>
                      </w:rPr>
                      <w:t xml:space="preserve">food, </w:t>
                    </w:r>
                    <w:r w:rsidRPr="00F02BF0">
                      <w:rPr>
                        <w:b w:val="0"/>
                        <w:noProof w:val="0"/>
                        <w:color w:val="auto"/>
                        <w:szCs w:val="22"/>
                      </w:rPr>
                      <w:t>housing, green spaces, internet speeds</w:t>
                    </w:r>
                  </w:p>
                  <w:p w14:paraId="7A91ADDC" w14:textId="77777777" w:rsidR="00763251" w:rsidRPr="007738B4" w:rsidRDefault="00763251" w:rsidP="00F02BF0">
                    <w:pPr>
                      <w:pStyle w:val="bodytextreverse"/>
                      <w:numPr>
                        <w:ilvl w:val="0"/>
                        <w:numId w:val="8"/>
                      </w:numPr>
                      <w:rPr>
                        <w:b w:val="0"/>
                        <w:noProof w:val="0"/>
                        <w:color w:val="auto"/>
                        <w:sz w:val="20"/>
                        <w:szCs w:val="20"/>
                      </w:rPr>
                    </w:pPr>
                    <w:r>
                      <w:rPr>
                        <w:b w:val="0"/>
                        <w:noProof w:val="0"/>
                        <w:color w:val="auto"/>
                        <w:szCs w:val="22"/>
                      </w:rPr>
                      <w:t>Employment opportunities</w:t>
                    </w:r>
                  </w:p>
                </w:tc>
              </w:tr>
              <w:tr w:rsidR="00763251" w:rsidRPr="00E94769" w14:paraId="728E3E8A" w14:textId="77777777" w:rsidTr="00A1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28895791" w14:textId="77777777" w:rsidR="00763251" w:rsidRPr="00F76D7C" w:rsidRDefault="00763251" w:rsidP="002D41D4">
                    <w:pPr>
                      <w:pStyle w:val="Bullet1"/>
                      <w:numPr>
                        <w:ilvl w:val="0"/>
                        <w:numId w:val="0"/>
                      </w:numPr>
                      <w:suppressAutoHyphens/>
                      <w:spacing w:before="60" w:line="260" w:lineRule="atLeast"/>
                      <w:ind w:left="357" w:hanging="357"/>
                    </w:pPr>
                    <w:r>
                      <w:t>Self-determination | Time</w:t>
                    </w:r>
                  </w:p>
                  <w:p w14:paraId="37F10E06" w14:textId="77777777" w:rsidR="00763251" w:rsidRPr="004470AF" w:rsidRDefault="00763251" w:rsidP="009C676E">
                    <w:pPr>
                      <w:pStyle w:val="bodytextreverse"/>
                      <w:numPr>
                        <w:ilvl w:val="0"/>
                        <w:numId w:val="8"/>
                      </w:numPr>
                      <w:rPr>
                        <w:b w:val="0"/>
                        <w:noProof w:val="0"/>
                        <w:color w:val="auto"/>
                        <w:szCs w:val="22"/>
                      </w:rPr>
                    </w:pPr>
                    <w:r>
                      <w:rPr>
                        <w:b w:val="0"/>
                        <w:noProof w:val="0"/>
                        <w:color w:val="auto"/>
                        <w:szCs w:val="22"/>
                      </w:rPr>
                      <w:t xml:space="preserve">People are empowered to make choices about how they spend their time – carer responsibilities, work/life balance, holidays, sport, cultural, sleep </w:t>
                    </w:r>
                    <w:proofErr w:type="spellStart"/>
                    <w:r>
                      <w:rPr>
                        <w:b w:val="0"/>
                        <w:noProof w:val="0"/>
                        <w:color w:val="auto"/>
                        <w:szCs w:val="22"/>
                      </w:rPr>
                      <w:t>etc</w:t>
                    </w:r>
                    <w:proofErr w:type="spellEnd"/>
                  </w:p>
                  <w:p w14:paraId="35B3C66F" w14:textId="77777777" w:rsidR="00763251" w:rsidRPr="007C271A" w:rsidRDefault="00763251" w:rsidP="009C676E">
                    <w:pPr>
                      <w:pStyle w:val="bodytextreverse"/>
                      <w:numPr>
                        <w:ilvl w:val="0"/>
                        <w:numId w:val="8"/>
                      </w:numPr>
                      <w:rPr>
                        <w:b w:val="0"/>
                        <w:noProof w:val="0"/>
                        <w:color w:val="auto"/>
                        <w:szCs w:val="22"/>
                      </w:rPr>
                    </w:pPr>
                    <w:r>
                      <w:rPr>
                        <w:b w:val="0"/>
                        <w:noProof w:val="0"/>
                        <w:color w:val="auto"/>
                        <w:szCs w:val="22"/>
                      </w:rPr>
                      <w:t xml:space="preserve">Flexible work arrangements </w:t>
                    </w:r>
                  </w:p>
                  <w:p w14:paraId="4CD06A63" w14:textId="77777777" w:rsidR="00763251" w:rsidRPr="00ED7369" w:rsidRDefault="00763251" w:rsidP="00ED7369">
                    <w:pPr>
                      <w:pStyle w:val="bodytextreverse"/>
                      <w:numPr>
                        <w:ilvl w:val="0"/>
                        <w:numId w:val="8"/>
                      </w:numPr>
                      <w:rPr>
                        <w:b w:val="0"/>
                        <w:noProof w:val="0"/>
                        <w:color w:val="auto"/>
                        <w:szCs w:val="22"/>
                      </w:rPr>
                    </w:pPr>
                    <w:r>
                      <w:rPr>
                        <w:b w:val="0"/>
                        <w:noProof w:val="0"/>
                        <w:color w:val="auto"/>
                        <w:szCs w:val="22"/>
                      </w:rPr>
                      <w:t>Empowered for self-determination; make their own decisions, including in care and death</w:t>
                    </w:r>
                  </w:p>
                </w:tc>
              </w:tr>
              <w:tr w:rsidR="00763251" w:rsidRPr="00F05B52" w14:paraId="137FC6D0" w14:textId="77777777" w:rsidTr="00A74685">
                <w:tc>
                  <w:tcPr>
                    <w:cnfStyle w:val="001000000000" w:firstRow="0" w:lastRow="0" w:firstColumn="1" w:lastColumn="0" w:oddVBand="0" w:evenVBand="0" w:oddHBand="0" w:evenHBand="0" w:firstRowFirstColumn="0" w:firstRowLastColumn="0" w:lastRowFirstColumn="0" w:lastRowLastColumn="0"/>
                    <w:tcW w:w="10348" w:type="dxa"/>
                  </w:tcPr>
                  <w:p w14:paraId="56022785" w14:textId="77777777" w:rsidR="00763251" w:rsidRPr="00F977FC" w:rsidRDefault="00763251" w:rsidP="00A74685">
                    <w:pPr>
                      <w:pStyle w:val="Bullet1"/>
                      <w:numPr>
                        <w:ilvl w:val="0"/>
                        <w:numId w:val="0"/>
                      </w:numPr>
                      <w:suppressAutoHyphens/>
                      <w:spacing w:before="60" w:line="260" w:lineRule="atLeast"/>
                      <w:ind w:left="357" w:hanging="357"/>
                    </w:pPr>
                    <w:r w:rsidRPr="00F977FC">
                      <w:t>Safety</w:t>
                    </w:r>
                  </w:p>
                  <w:p w14:paraId="2BB30F08" w14:textId="77777777" w:rsidR="00763251" w:rsidRPr="001B30F3" w:rsidRDefault="00763251" w:rsidP="00A74685">
                    <w:pPr>
                      <w:pStyle w:val="bodytextreverse"/>
                      <w:numPr>
                        <w:ilvl w:val="0"/>
                        <w:numId w:val="8"/>
                      </w:numPr>
                      <w:rPr>
                        <w:b w:val="0"/>
                        <w:noProof w:val="0"/>
                        <w:color w:val="auto"/>
                        <w:szCs w:val="22"/>
                      </w:rPr>
                    </w:pPr>
                    <w:r w:rsidRPr="001B30F3">
                      <w:rPr>
                        <w:b w:val="0"/>
                        <w:noProof w:val="0"/>
                        <w:color w:val="auto"/>
                        <w:szCs w:val="22"/>
                      </w:rPr>
                      <w:t>Feeling safe is important</w:t>
                    </w:r>
                  </w:p>
                  <w:p w14:paraId="0F546719" w14:textId="77777777" w:rsidR="00763251" w:rsidRPr="001B30F3" w:rsidRDefault="00763251" w:rsidP="00A74685">
                    <w:pPr>
                      <w:pStyle w:val="bodytextreverse"/>
                      <w:numPr>
                        <w:ilvl w:val="0"/>
                        <w:numId w:val="8"/>
                      </w:numPr>
                      <w:rPr>
                        <w:b w:val="0"/>
                        <w:noProof w:val="0"/>
                        <w:color w:val="auto"/>
                        <w:szCs w:val="22"/>
                      </w:rPr>
                    </w:pPr>
                    <w:r w:rsidRPr="001B30F3">
                      <w:rPr>
                        <w:b w:val="0"/>
                        <w:noProof w:val="0"/>
                        <w:color w:val="auto"/>
                        <w:szCs w:val="22"/>
                      </w:rPr>
                      <w:t>Safety for all, across all aspects of the community; at home, road, online, public transport, school</w:t>
                    </w:r>
                    <w:r>
                      <w:rPr>
                        <w:b w:val="0"/>
                        <w:noProof w:val="0"/>
                        <w:color w:val="auto"/>
                        <w:szCs w:val="22"/>
                      </w:rPr>
                      <w:t>,</w:t>
                    </w:r>
                    <w:r w:rsidRPr="001B30F3">
                      <w:rPr>
                        <w:b w:val="0"/>
                        <w:noProof w:val="0"/>
                        <w:color w:val="auto"/>
                        <w:szCs w:val="22"/>
                      </w:rPr>
                      <w:t xml:space="preserve"> workplace, pubs, clubs, gyms</w:t>
                    </w:r>
                  </w:p>
                  <w:p w14:paraId="3403DE9C" w14:textId="77777777" w:rsidR="00763251" w:rsidRPr="001B30F3" w:rsidRDefault="00763251" w:rsidP="00A74685">
                    <w:pPr>
                      <w:pStyle w:val="bodytextreverse"/>
                      <w:numPr>
                        <w:ilvl w:val="0"/>
                        <w:numId w:val="8"/>
                      </w:numPr>
                      <w:rPr>
                        <w:b w:val="0"/>
                        <w:noProof w:val="0"/>
                        <w:color w:val="auto"/>
                        <w:szCs w:val="22"/>
                      </w:rPr>
                    </w:pPr>
                    <w:r w:rsidRPr="001B30F3">
                      <w:rPr>
                        <w:b w:val="0"/>
                        <w:noProof w:val="0"/>
                        <w:color w:val="auto"/>
                        <w:szCs w:val="22"/>
                      </w:rPr>
                      <w:t>Investment in emergency services and police force</w:t>
                    </w:r>
                  </w:p>
                </w:tc>
              </w:tr>
            </w:tbl>
            <w:p w14:paraId="27FADF9F" w14:textId="77777777" w:rsidR="00763251" w:rsidRDefault="00763251" w:rsidP="0053599F">
              <w:pPr>
                <w:pStyle w:val="bodytextreverse"/>
                <w:spacing w:after="0"/>
                <w:rPr>
                  <w:b/>
                </w:rPr>
              </w:pPr>
            </w:p>
            <w:p w14:paraId="5E61AA3B" w14:textId="77777777" w:rsidR="00763251" w:rsidRPr="0079786E" w:rsidRDefault="00763251" w:rsidP="0079786E">
              <w:pPr>
                <w:pStyle w:val="bodytextreverse"/>
                <w:spacing w:after="0"/>
                <w:rPr>
                  <w:bCs/>
                  <w:color w:val="482D8C" w:themeColor="background2"/>
                  <w:sz w:val="36"/>
                  <w:szCs w:val="40"/>
                </w:rPr>
              </w:pPr>
              <w:r w:rsidRPr="0079786E">
                <w:rPr>
                  <w:bCs/>
                </w:rPr>
                <w:t xml:space="preserve">The information above is presented in the groupings that were </w:t>
              </w:r>
              <w:r>
                <w:rPr>
                  <w:bCs/>
                </w:rPr>
                <w:t>used during the</w:t>
              </w:r>
              <w:r w:rsidRPr="0079786E">
                <w:rPr>
                  <w:bCs/>
                </w:rPr>
                <w:t xml:space="preserve"> roundtable. </w:t>
              </w:r>
              <w:r w:rsidRPr="0079786E">
                <w:rPr>
                  <w:bCs/>
                  <w:noProof w:val="0"/>
                </w:rPr>
                <w:t xml:space="preserve">This Listening Report captures the sentiments of proceedings at a high level. All input provided to the roundtables will be considered in the development of the Wellbeing Indicators for the ACT. </w:t>
              </w:r>
            </w:p>
            <w:p w14:paraId="63CC809C" w14:textId="77777777" w:rsidR="00763251" w:rsidRPr="00E94769" w:rsidRDefault="00763251" w:rsidP="005B7E65">
              <w:pPr>
                <w:pStyle w:val="Heading2"/>
                <w:spacing w:before="360"/>
              </w:pPr>
              <w:r w:rsidRPr="00E94769">
                <w:t>WHO ENGAGED</w:t>
              </w:r>
            </w:p>
            <w:p w14:paraId="376EBF15" w14:textId="77777777" w:rsidR="00763251" w:rsidRDefault="00763251" w:rsidP="00011391">
              <w:pPr>
                <w:pStyle w:val="HighlightedBodyText"/>
                <w:rPr>
                  <w:noProof w:val="0"/>
                </w:rPr>
              </w:pPr>
              <w:r w:rsidRPr="008058BB">
                <w:rPr>
                  <w:noProof w:val="0"/>
                </w:rPr>
                <w:t>The Roundtable engaged with a diverse range of representatives from groups</w:t>
              </w:r>
              <w:r>
                <w:rPr>
                  <w:noProof w:val="0"/>
                </w:rPr>
                <w:t xml:space="preserve"> including:</w:t>
              </w:r>
            </w:p>
            <w:p w14:paraId="2EA55D60" w14:textId="77777777" w:rsidR="00763251" w:rsidRDefault="00763251" w:rsidP="00011391">
              <w:pPr>
                <w:pStyle w:val="bodytextreverse"/>
                <w:rPr>
                  <w:noProof w:val="0"/>
                </w:rPr>
              </w:pPr>
              <w:r w:rsidRPr="00011391">
                <w:rPr>
                  <w:noProof w:val="0"/>
                </w:rPr>
                <w:t xml:space="preserve">ACT Courts and Tribunal, </w:t>
              </w:r>
              <w:r>
                <w:rPr>
                  <w:noProof w:val="0"/>
                </w:rPr>
                <w:t xml:space="preserve">ACT Heritage Council, Australian National University, Australian Research Alliance for Children and Young People, </w:t>
              </w:r>
              <w:r w:rsidRPr="00011391">
                <w:rPr>
                  <w:noProof w:val="0"/>
                </w:rPr>
                <w:t>Better Renting,</w:t>
              </w:r>
              <w:r>
                <w:rPr>
                  <w:noProof w:val="0"/>
                </w:rPr>
                <w:t xml:space="preserve"> Canberra Community Clubs, Carers ACT, </w:t>
              </w:r>
              <w:r w:rsidRPr="00011391">
                <w:rPr>
                  <w:noProof w:val="0"/>
                </w:rPr>
                <w:t>Care Financial Consulting, Construction, Forestry, Maritime, Mining and Energy Union</w:t>
              </w:r>
              <w:r>
                <w:rPr>
                  <w:noProof w:val="0"/>
                </w:rPr>
                <w:t xml:space="preserve"> Create Foundation, Minister’s Creative Council, </w:t>
              </w:r>
              <w:r w:rsidRPr="00011391">
                <w:rPr>
                  <w:noProof w:val="0"/>
                </w:rPr>
                <w:t>Council on the Ageing, Early Childhood Advisory Council,</w:t>
              </w:r>
              <w:r>
                <w:rPr>
                  <w:noProof w:val="0"/>
                </w:rPr>
                <w:t xml:space="preserve"> </w:t>
              </w:r>
              <w:r w:rsidRPr="00011391">
                <w:rPr>
                  <w:noProof w:val="0"/>
                </w:rPr>
                <w:t>Gambling and Racing Commission</w:t>
              </w:r>
              <w:r>
                <w:rPr>
                  <w:noProof w:val="0"/>
                </w:rPr>
                <w:t xml:space="preserve">, </w:t>
              </w:r>
              <w:r w:rsidRPr="00011391">
                <w:rPr>
                  <w:noProof w:val="0"/>
                </w:rPr>
                <w:t>Hands Across Canberra,</w:t>
              </w:r>
              <w:r>
                <w:rPr>
                  <w:noProof w:val="0"/>
                </w:rPr>
                <w:t xml:space="preserve"> </w:t>
              </w:r>
              <w:r w:rsidRPr="00011391">
                <w:rPr>
                  <w:noProof w:val="0"/>
                </w:rPr>
                <w:t>Heart Foundation,</w:t>
              </w:r>
              <w:r>
                <w:rPr>
                  <w:noProof w:val="0"/>
                </w:rPr>
                <w:t xml:space="preserve"> </w:t>
              </w:r>
              <w:r w:rsidRPr="00011391">
                <w:rPr>
                  <w:noProof w:val="0"/>
                </w:rPr>
                <w:t>Housing ACT,</w:t>
              </w:r>
              <w:r>
                <w:rPr>
                  <w:noProof w:val="0"/>
                </w:rPr>
                <w:t xml:space="preserve"> Inner South Community Council, </w:t>
              </w:r>
              <w:r w:rsidRPr="00011391">
                <w:rPr>
                  <w:noProof w:val="0"/>
                </w:rPr>
                <w:t xml:space="preserve">Migrant and Refugee Settlement Services Australia </w:t>
              </w:r>
              <w:proofErr w:type="spellStart"/>
              <w:r w:rsidRPr="00011391">
                <w:rPr>
                  <w:noProof w:val="0"/>
                </w:rPr>
                <w:t>Inc</w:t>
              </w:r>
              <w:proofErr w:type="spellEnd"/>
              <w:r w:rsidRPr="00011391">
                <w:rPr>
                  <w:noProof w:val="0"/>
                </w:rPr>
                <w:t>,</w:t>
              </w:r>
              <w:r>
                <w:rPr>
                  <w:noProof w:val="0"/>
                </w:rPr>
                <w:t xml:space="preserve"> </w:t>
              </w:r>
              <w:r w:rsidRPr="00011391">
                <w:rPr>
                  <w:noProof w:val="0"/>
                </w:rPr>
                <w:t>National Disability Services,</w:t>
              </w:r>
              <w:r>
                <w:rPr>
                  <w:noProof w:val="0"/>
                </w:rPr>
                <w:t xml:space="preserve"> Red Cross, St Vincent De Paul Society, Tuggeranong Community Council, YWCA Canberra.</w:t>
              </w:r>
            </w:p>
            <w:p w14:paraId="18FBF010" w14:textId="77777777" w:rsidR="00763251" w:rsidRDefault="00763251" w:rsidP="00011391">
              <w:pPr>
                <w:pStyle w:val="Heading2"/>
              </w:pPr>
            </w:p>
            <w:p w14:paraId="14355488" w14:textId="77777777" w:rsidR="00763251" w:rsidRPr="00E94769" w:rsidRDefault="00763251" w:rsidP="00011391">
              <w:pPr>
                <w:pStyle w:val="Heading2"/>
              </w:pPr>
              <w:r w:rsidRPr="00E94769">
                <w:t>What’s Next?</w:t>
              </w:r>
            </w:p>
            <w:p w14:paraId="5CF89A28" w14:textId="214609DF" w:rsidR="00763251" w:rsidRPr="00E94769" w:rsidRDefault="00763251" w:rsidP="005C344B">
              <w:pPr>
                <w:pStyle w:val="HighlightedBodyText"/>
                <w:rPr>
                  <w:noProof w:val="0"/>
                </w:rPr>
              </w:pPr>
              <w:r>
                <w:rPr>
                  <w:noProof w:val="0"/>
                </w:rPr>
                <w:t xml:space="preserve">This was </w:t>
              </w:r>
              <w:r w:rsidRPr="006D4518">
                <w:rPr>
                  <w:noProof w:val="0"/>
                </w:rPr>
                <w:t>the</w:t>
              </w:r>
              <w:r>
                <w:rPr>
                  <w:noProof w:val="0"/>
                </w:rPr>
                <w:t xml:space="preserve"> third</w:t>
              </w:r>
              <w:r w:rsidRPr="006D4518">
                <w:rPr>
                  <w:noProof w:val="0"/>
                </w:rPr>
                <w:t xml:space="preserve"> in a series</w:t>
              </w:r>
              <w:r>
                <w:rPr>
                  <w:noProof w:val="0"/>
                </w:rPr>
                <w:t xml:space="preserve"> of public stakeholder roundtables.</w:t>
              </w:r>
            </w:p>
          </w:sdtContent>
        </w:sdt>
        <w:p w14:paraId="16F58176" w14:textId="77777777" w:rsidR="006C74C3" w:rsidRDefault="006C74C3" w:rsidP="006C74C3">
          <w:pPr>
            <w:pStyle w:val="bodytextreverse"/>
            <w:rPr>
              <w:rFonts w:eastAsia="Times New Roman"/>
              <w:color w:val="482D8C" w:themeColor="background2"/>
              <w:sz w:val="36"/>
              <w:szCs w:val="40"/>
            </w:rPr>
          </w:pPr>
          <w:r>
            <w:rPr>
              <w:noProof w:val="0"/>
            </w:rPr>
            <w:t>Four roundtables with the community were held during July 2019. The feedback from all these roundtables, along with other community feedback begins the process of domain and indicator initial design in partnership with academics and wellbeing specialists. Further consultation and engagement with the broader Canberra community to get feedback on a proposed set of indicators will take place from September to November 2019.</w:t>
          </w:r>
        </w:p>
        <w:p w14:paraId="231FC863" w14:textId="72FAD784" w:rsidR="00FE0B23" w:rsidRPr="00BA3EDC" w:rsidRDefault="00BA3EDC" w:rsidP="00BA3EDC">
          <w:pPr>
            <w:spacing w:line="276" w:lineRule="auto"/>
            <w:rPr>
              <w:kern w:val="22"/>
              <w:sz w:val="22"/>
            </w:rPr>
          </w:pPr>
        </w:p>
      </w:sdtContent>
    </w:sdt>
    <w:bookmarkEnd w:id="0" w:displacedByCustomXml="prev"/>
    <w:sectPr w:rsidR="00FE0B23" w:rsidRPr="00BA3EDC" w:rsidSect="00DC481A">
      <w:pgSz w:w="11906" w:h="16838" w:code="9"/>
      <w:pgMar w:top="3403" w:right="707" w:bottom="1560" w:left="851" w:header="567" w:footer="417"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EC905" w14:textId="77777777" w:rsidR="005C7FE6" w:rsidRDefault="005C7FE6" w:rsidP="00665B9F">
      <w:pPr>
        <w:spacing w:after="0" w:line="240" w:lineRule="auto"/>
      </w:pPr>
      <w:r>
        <w:separator/>
      </w:r>
    </w:p>
  </w:endnote>
  <w:endnote w:type="continuationSeparator" w:id="0">
    <w:p w14:paraId="49EDA0C4" w14:textId="77777777" w:rsidR="005C7FE6" w:rsidRDefault="005C7FE6"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Medium">
    <w:altName w:val="Calibri"/>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Work Sans Light">
    <w:altName w:val="Calibri"/>
    <w:charset w:val="00"/>
    <w:family w:val="auto"/>
    <w:pitch w:val="variable"/>
    <w:sig w:usb0="00000007" w:usb1="00000001" w:usb2="00000000" w:usb3="00000000" w:csb0="00000093"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39273"/>
      <w:docPartObj>
        <w:docPartGallery w:val="Page Numbers (Bottom of Page)"/>
        <w:docPartUnique/>
      </w:docPartObj>
    </w:sdtPr>
    <w:sdtEndPr>
      <w:rPr>
        <w:noProof/>
      </w:rPr>
    </w:sdtEndPr>
    <w:sdtContent>
      <w:p w14:paraId="5DA3C1E9" w14:textId="653C60A2" w:rsidR="005A2C39" w:rsidRDefault="00DC481A" w:rsidP="00DC481A">
        <w:pPr>
          <w:pStyle w:val="Footer"/>
          <w:jc w:val="center"/>
        </w:pPr>
        <w:r>
          <w:rPr>
            <w:rFonts w:ascii="Montserrat" w:hAnsi="Montserrat"/>
            <w:noProof/>
          </w:rPr>
          <w:drawing>
            <wp:anchor distT="0" distB="0" distL="114300" distR="114300" simplePos="0" relativeHeight="251655168" behindDoc="1" locked="0" layoutInCell="1" allowOverlap="1" wp14:anchorId="0F4032B7" wp14:editId="325796AE">
              <wp:simplePos x="0" y="0"/>
              <wp:positionH relativeFrom="column">
                <wp:posOffset>-45085</wp:posOffset>
              </wp:positionH>
              <wp:positionV relativeFrom="paragraph">
                <wp:posOffset>-81915</wp:posOffset>
              </wp:positionV>
              <wp:extent cx="6570980" cy="630555"/>
              <wp:effectExtent l="0" t="0" r="127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570980" cy="630555"/>
                      </a:xfrm>
                      <a:prstGeom prst="rect">
                        <a:avLst/>
                      </a:prstGeom>
                    </pic:spPr>
                  </pic:pic>
                </a:graphicData>
              </a:graphic>
            </wp:anchor>
          </w:drawing>
        </w:r>
      </w:p>
    </w:sdtContent>
  </w:sdt>
  <w:p w14:paraId="6E52DFE8" w14:textId="163BD2F7" w:rsidR="003B0D48" w:rsidRPr="00C11391" w:rsidRDefault="003B0D48" w:rsidP="009E4EC4">
    <w:pPr>
      <w:pStyle w:val="Intro"/>
      <w:tabs>
        <w:tab w:val="right" w:pos="8505"/>
        <w:tab w:val="right" w:pos="8789"/>
      </w:tabs>
      <w:rPr>
        <w:rFonts w:ascii="Montserrat" w:hAnsi="Montserra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EE7F1" w14:textId="77777777" w:rsidR="003C0F24" w:rsidRPr="00C11391" w:rsidRDefault="003C0F24" w:rsidP="003C0F24">
    <w:pPr>
      <w:pStyle w:val="Intro"/>
      <w:tabs>
        <w:tab w:val="right" w:pos="8505"/>
        <w:tab w:val="right" w:pos="8789"/>
      </w:tabs>
      <w:rPr>
        <w:rFonts w:ascii="Montserrat" w:hAnsi="Montserrat"/>
      </w:rPr>
    </w:pPr>
    <w:r>
      <w:rPr>
        <w:rFonts w:ascii="Montserrat" w:hAnsi="Montserrat"/>
        <w:sz w:val="36"/>
      </w:rPr>
      <w:br/>
    </w:r>
    <w:r>
      <w:rPr>
        <w:rFonts w:ascii="Montserrat" w:hAnsi="Montserrat"/>
        <w:noProof/>
      </w:rPr>
      <w:drawing>
        <wp:anchor distT="0" distB="0" distL="114300" distR="114300" simplePos="0" relativeHeight="251659264" behindDoc="1" locked="0" layoutInCell="1" allowOverlap="1" wp14:anchorId="12784C8A" wp14:editId="2C1D1716">
          <wp:simplePos x="0" y="0"/>
          <wp:positionH relativeFrom="margin">
            <wp:align>right</wp:align>
          </wp:positionH>
          <wp:positionV relativeFrom="paragraph">
            <wp:posOffset>7196</wp:posOffset>
          </wp:positionV>
          <wp:extent cx="1034308" cy="531284"/>
          <wp:effectExtent l="0" t="0" r="0" b="254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CTGov_inline_black.png"/>
                  <pic:cNvPicPr/>
                </pic:nvPicPr>
                <pic:blipFill>
                  <a:blip r:embed="rId1">
                    <a:extLst>
                      <a:ext uri="{28A0092B-C50C-407E-A947-70E740481C1C}">
                        <a14:useLocalDpi xmlns:a14="http://schemas.microsoft.com/office/drawing/2010/main" val="0"/>
                      </a:ext>
                    </a:extLst>
                  </a:blip>
                  <a:stretch>
                    <a:fillRect/>
                  </a:stretch>
                </pic:blipFill>
                <pic:spPr>
                  <a:xfrm>
                    <a:off x="0" y="0"/>
                    <a:ext cx="1034308" cy="531284"/>
                  </a:xfrm>
                  <a:prstGeom prst="rect">
                    <a:avLst/>
                  </a:prstGeom>
                </pic:spPr>
              </pic:pic>
            </a:graphicData>
          </a:graphic>
          <wp14:sizeRelH relativeFrom="margin">
            <wp14:pctWidth>0</wp14:pctWidth>
          </wp14:sizeRelH>
          <wp14:sizeRelV relativeFrom="margin">
            <wp14:pctHeight>0</wp14:pctHeight>
          </wp14:sizeRelV>
        </wp:anchor>
      </w:drawing>
    </w:r>
    <w:r w:rsidRPr="00C11391">
      <w:rPr>
        <w:noProof/>
        <w:sz w:val="24"/>
        <w:szCs w:val="18"/>
      </w:rPr>
      <mc:AlternateContent>
        <mc:Choice Requires="wps">
          <w:drawing>
            <wp:anchor distT="0" distB="0" distL="114300" distR="114300" simplePos="0" relativeHeight="251658240" behindDoc="0" locked="0" layoutInCell="1" allowOverlap="1" wp14:anchorId="730B6F5F" wp14:editId="18BC7B30">
              <wp:simplePos x="0" y="0"/>
              <wp:positionH relativeFrom="column">
                <wp:posOffset>-900430</wp:posOffset>
              </wp:positionH>
              <wp:positionV relativeFrom="paragraph">
                <wp:posOffset>-179705</wp:posOffset>
              </wp:positionV>
              <wp:extent cx="7560945" cy="0"/>
              <wp:effectExtent l="9525" t="10160" r="11430" b="889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A65803"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Ny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jBS&#10;pIcdPe+9jqXRLMxnMK6AsEptbeiQHtWredH0u0NKVx1RLY/BbycDuVnISN6lhIszUGU3fNYMYgjg&#10;x2EdG9sHSBgDOsadnG474UePKHx8nM7SRT7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"/>
          </w:pict>
        </mc:Fallback>
      </mc:AlternateContent>
    </w:r>
    <w:hyperlink r:id="rId2" w:history="1">
      <w:r w:rsidRPr="00C11391">
        <w:rPr>
          <w:rStyle w:val="Hyperlink"/>
          <w:rFonts w:ascii="Montserrat" w:hAnsi="Montserrat"/>
          <w:noProof/>
          <w:sz w:val="24"/>
          <w:szCs w:val="18"/>
          <w:u w:val="none"/>
        </w:rPr>
        <w:t>yoursay.act.gov.au</w:t>
      </w:r>
    </w:hyperlink>
    <w:r w:rsidRPr="00C11391">
      <w:rPr>
        <w:rFonts w:ascii="Montserrat" w:hAnsi="Montserrat"/>
        <w:noProof/>
        <w:sz w:val="18"/>
        <w:szCs w:val="18"/>
      </w:rPr>
      <w:t xml:space="preserve"> </w:t>
    </w:r>
  </w:p>
  <w:p w14:paraId="1D2501DD" w14:textId="77777777" w:rsidR="003C0F24" w:rsidRDefault="003C0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FA96F" w14:textId="77777777" w:rsidR="005C7FE6" w:rsidRDefault="005C7FE6" w:rsidP="00665B9F">
      <w:pPr>
        <w:spacing w:after="0" w:line="240" w:lineRule="auto"/>
      </w:pPr>
      <w:r>
        <w:separator/>
      </w:r>
    </w:p>
  </w:footnote>
  <w:footnote w:type="continuationSeparator" w:id="0">
    <w:p w14:paraId="02CBA211" w14:textId="77777777" w:rsidR="005C7FE6" w:rsidRDefault="005C7FE6" w:rsidP="0066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A6924" w14:textId="24BE84EB" w:rsidR="003B0D48" w:rsidRPr="00657E57" w:rsidRDefault="00657E57" w:rsidP="005A2C39">
    <w:pPr>
      <w:pStyle w:val="Heading1"/>
      <w:rPr>
        <w:color w:val="FFFFFF" w:themeColor="background1"/>
        <w:w w:val="92"/>
      </w:rPr>
    </w:pPr>
    <w:r w:rsidRPr="00B45AA2">
      <w:rPr>
        <w:rStyle w:val="BoldHeading1Char"/>
      </w:rPr>
      <w:drawing>
        <wp:anchor distT="0" distB="0" distL="114300" distR="114300" simplePos="0" relativeHeight="251656192" behindDoc="1" locked="0" layoutInCell="1" allowOverlap="1" wp14:anchorId="408B9E5D" wp14:editId="3BFDFC98">
          <wp:simplePos x="0" y="0"/>
          <wp:positionH relativeFrom="column">
            <wp:posOffset>-1012825</wp:posOffset>
          </wp:positionH>
          <wp:positionV relativeFrom="paragraph">
            <wp:posOffset>-573405</wp:posOffset>
          </wp:positionV>
          <wp:extent cx="8263699" cy="1965960"/>
          <wp:effectExtent l="0" t="0" r="4445" b="0"/>
          <wp:wrapNone/>
          <wp:docPr id="209" name="Picture 209" descr="Header banner is of a blue sky with a few clouds. Has the YourSay logo to the right of th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263699" cy="1965960"/>
                  </a:xfrm>
                  <a:prstGeom prst="rect">
                    <a:avLst/>
                  </a:prstGeom>
                </pic:spPr>
              </pic:pic>
            </a:graphicData>
          </a:graphic>
          <wp14:sizeRelH relativeFrom="page">
            <wp14:pctWidth>0</wp14:pctWidth>
          </wp14:sizeRelH>
          <wp14:sizeRelV relativeFrom="page">
            <wp14:pctHeight>0</wp14:pctHeight>
          </wp14:sizeRelV>
        </wp:anchor>
      </w:drawing>
    </w:r>
    <w:r w:rsidR="00081DD1">
      <w:rPr>
        <w:rStyle w:val="BoldHeading1Char"/>
      </w:rPr>
      <w:t>WELLBEING INDICATORS</w:t>
    </w:r>
    <w:r w:rsidR="003C0F24">
      <w:rPr>
        <w:noProof/>
        <w:color w:val="000000" w:themeColor="text1"/>
        <w:w w:val="92"/>
      </w:rPr>
      <w:tab/>
    </w:r>
    <w:r w:rsidR="00745525" w:rsidRPr="00657E57">
      <w:rPr>
        <w:noProof/>
        <w:color w:val="000000" w:themeColor="text1"/>
        <w:w w:val="92"/>
      </w:rPr>
      <w:br/>
    </w:r>
    <w:r w:rsidR="004F50AC">
      <w:rPr>
        <w:noProof/>
        <w:w w:val="92"/>
      </w:rPr>
      <w:t>R</w:t>
    </w:r>
    <w:r w:rsidR="003C0F24" w:rsidRPr="003C0F24">
      <w:rPr>
        <w:noProof/>
        <w:w w:val="92"/>
      </w:rPr>
      <w:t>eport</w:t>
    </w:r>
    <w:r w:rsidR="004F50AC">
      <w:rPr>
        <w:noProof/>
        <w:w w:val="92"/>
      </w:rPr>
      <w:t xml:space="preserve"> on What We </w:t>
    </w:r>
    <w:r w:rsidR="004F50AC" w:rsidRPr="005A2C39">
      <w:t>Heard</w:t>
    </w:r>
    <w:r w:rsidR="003B0D48" w:rsidRPr="00657E57">
      <w:rPr>
        <w:color w:val="FFFFFF" w:themeColor="background1"/>
        <w:w w:val="9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993AE" w14:textId="7558BCD1" w:rsidR="00B87A4C" w:rsidRDefault="00B87A4C">
    <w:pPr>
      <w:pStyle w:val="Header"/>
      <w:rPr>
        <w:rStyle w:val="BoldHeading1Char"/>
        <w:bCs w:val="0"/>
        <w:caps w:val="0"/>
      </w:rPr>
    </w:pPr>
    <w:r w:rsidRPr="00B87A4C">
      <w:rPr>
        <w:b/>
        <w:noProof/>
        <w:color w:val="FFFFFF" w:themeColor="background1"/>
        <w:w w:val="92"/>
      </w:rPr>
      <w:drawing>
        <wp:anchor distT="0" distB="0" distL="114300" distR="114300" simplePos="0" relativeHeight="251667456" behindDoc="1" locked="0" layoutInCell="1" allowOverlap="1" wp14:anchorId="19266970" wp14:editId="2D51588B">
          <wp:simplePos x="0" y="0"/>
          <wp:positionH relativeFrom="column">
            <wp:posOffset>-892077</wp:posOffset>
          </wp:positionH>
          <wp:positionV relativeFrom="paragraph">
            <wp:posOffset>-761713</wp:posOffset>
          </wp:positionV>
          <wp:extent cx="8259034" cy="2059912"/>
          <wp:effectExtent l="0" t="0" r="0" b="0"/>
          <wp:wrapNone/>
          <wp:docPr id="8" name="Picture 8" descr="Header banner is of a blue sky with a few clouds. Has the YourSay logo to the right of th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289282" cy="2067456"/>
                  </a:xfrm>
                  <a:prstGeom prst="rect">
                    <a:avLst/>
                  </a:prstGeom>
                </pic:spPr>
              </pic:pic>
            </a:graphicData>
          </a:graphic>
          <wp14:sizeRelH relativeFrom="page">
            <wp14:pctWidth>0</wp14:pctWidth>
          </wp14:sizeRelH>
          <wp14:sizeRelV relativeFrom="page">
            <wp14:pctHeight>0</wp14:pctHeight>
          </wp14:sizeRelV>
        </wp:anchor>
      </w:drawing>
    </w:r>
  </w:p>
  <w:p w14:paraId="411D739B" w14:textId="685CEF80" w:rsidR="003C0F24" w:rsidRDefault="00B87A4C">
    <w:pPr>
      <w:pStyle w:val="Header"/>
    </w:pPr>
    <w:r w:rsidRPr="00B87A4C">
      <w:rPr>
        <w:rStyle w:val="BoldHeading1Char"/>
        <w:bCs w:val="0"/>
        <w:caps w:val="0"/>
      </w:rPr>
      <w:t>WELLBEING INDICATORS</w:t>
    </w:r>
    <w:r>
      <w:rPr>
        <w:noProof/>
        <w:color w:val="000000" w:themeColor="text1"/>
        <w:w w:val="92"/>
      </w:rPr>
      <w:tab/>
    </w:r>
    <w:r w:rsidRPr="00657E57">
      <w:rPr>
        <w:noProof/>
        <w:color w:val="000000" w:themeColor="text1"/>
        <w:w w:val="92"/>
      </w:rPr>
      <w:br/>
    </w:r>
    <w:r w:rsidRPr="00B87A4C">
      <w:rPr>
        <w:rFonts w:eastAsiaTheme="majorEastAsia" w:cstheme="majorBidi"/>
        <w:bCs/>
        <w:caps/>
        <w:noProof/>
        <w:color w:val="482D8C" w:themeColor="background2"/>
        <w:w w:val="92"/>
        <w:kern w:val="36"/>
        <w:sz w:val="36"/>
        <w:szCs w:val="48"/>
      </w:rPr>
      <w:t>Report on What We Heard</w:t>
    </w:r>
    <w:r w:rsidRPr="00DE2D59">
      <w:rPr>
        <w:b/>
        <w:noProof/>
        <w:color w:val="FFFFFF" w:themeColor="background1"/>
        <w:w w:val="92"/>
      </w:rPr>
      <w:t xml:space="preserve"> </w:t>
    </w:r>
    <w:r w:rsidR="003C0F24" w:rsidRPr="00DE2D59">
      <w:rPr>
        <w:b/>
        <w:noProof/>
        <w:color w:val="FFFFFF" w:themeColor="background1"/>
        <w:w w:val="92"/>
      </w:rPr>
      <w:drawing>
        <wp:anchor distT="0" distB="0" distL="114300" distR="114300" simplePos="0" relativeHeight="251657216" behindDoc="1" locked="0" layoutInCell="1" allowOverlap="1" wp14:anchorId="1CBDEA80" wp14:editId="70CAD0AB">
          <wp:simplePos x="0" y="0"/>
          <wp:positionH relativeFrom="column">
            <wp:posOffset>-701040</wp:posOffset>
          </wp:positionH>
          <wp:positionV relativeFrom="paragraph">
            <wp:posOffset>-2133600</wp:posOffset>
          </wp:positionV>
          <wp:extent cx="8263699" cy="1965960"/>
          <wp:effectExtent l="0" t="0" r="4445"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263699" cy="1965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80486"/>
    <w:multiLevelType w:val="hybridMultilevel"/>
    <w:tmpl w:val="B24E03F2"/>
    <w:lvl w:ilvl="0" w:tplc="D3588C66">
      <w:numFmt w:val="bullet"/>
      <w:lvlText w:val=""/>
      <w:lvlJc w:val="left"/>
      <w:pPr>
        <w:ind w:left="720" w:hanging="360"/>
      </w:pPr>
      <w:rPr>
        <w:rFonts w:ascii="Symbol" w:eastAsiaTheme="minorHAnsi" w:hAnsi="Symbol"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44645"/>
    <w:multiLevelType w:val="hybridMultilevel"/>
    <w:tmpl w:val="2B26BDAC"/>
    <w:lvl w:ilvl="0" w:tplc="1FD80C88">
      <w:numFmt w:val="bullet"/>
      <w:lvlText w:val=""/>
      <w:lvlJc w:val="left"/>
      <w:pPr>
        <w:ind w:left="720" w:hanging="360"/>
      </w:pPr>
      <w:rPr>
        <w:rFonts w:ascii="Symbol" w:eastAsiaTheme="minorHAnsi" w:hAnsi="Symbol"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BB1280"/>
    <w:multiLevelType w:val="hybridMultilevel"/>
    <w:tmpl w:val="2B64149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2C95059"/>
    <w:multiLevelType w:val="multilevel"/>
    <w:tmpl w:val="9206654A"/>
    <w:numStyleLink w:val="FigureNumbers"/>
  </w:abstractNum>
  <w:abstractNum w:abstractNumId="5" w15:restartNumberingAfterBreak="0">
    <w:nsid w:val="141D6270"/>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6" w15:restartNumberingAfterBreak="0">
    <w:nsid w:val="14873CEF"/>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7" w15:restartNumberingAfterBreak="0">
    <w:nsid w:val="15AC16C9"/>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8" w15:restartNumberingAfterBreak="0">
    <w:nsid w:val="1CC862E1"/>
    <w:multiLevelType w:val="multilevel"/>
    <w:tmpl w:val="9206654A"/>
    <w:styleLink w:val="FigureNumbers"/>
    <w:lvl w:ilvl="0">
      <w:start w:val="1"/>
      <w:numFmt w:val="decimal"/>
      <w:pStyle w:val="FigureTitle"/>
      <w:lvlText w:val="Figure %1."/>
      <w:lvlJc w:val="left"/>
      <w:pPr>
        <w:ind w:left="1134" w:hanging="1134"/>
      </w:pPr>
      <w:rPr>
        <w:rFonts w:ascii="Work Sans Medium" w:hAnsi="Work Sans Medium" w:hint="default"/>
        <w:b w:val="0"/>
        <w:i w:val="0"/>
        <w:caps w:val="0"/>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F7757A3"/>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10" w15:restartNumberingAfterBreak="0">
    <w:nsid w:val="221A059D"/>
    <w:multiLevelType w:val="hybridMultilevel"/>
    <w:tmpl w:val="0B38E5A0"/>
    <w:lvl w:ilvl="0" w:tplc="DC4CDF00">
      <w:start w:val="1"/>
      <w:numFmt w:val="upperLetter"/>
      <w:lvlText w:val="%1)"/>
      <w:lvlJc w:val="left"/>
      <w:pPr>
        <w:ind w:left="460" w:hanging="360"/>
      </w:pPr>
      <w:rPr>
        <w:rFonts w:ascii="Calibri" w:eastAsia="Calibri" w:hAnsi="Calibri" w:cs="Calibri" w:hint="default"/>
        <w:b/>
        <w:bCs/>
        <w:w w:val="100"/>
        <w:sz w:val="22"/>
        <w:szCs w:val="22"/>
        <w:lang w:val="en-AU" w:eastAsia="en-AU" w:bidi="en-AU"/>
      </w:rPr>
    </w:lvl>
    <w:lvl w:ilvl="1" w:tplc="8F729FF6">
      <w:numFmt w:val="bullet"/>
      <w:lvlText w:val=""/>
      <w:lvlJc w:val="left"/>
      <w:pPr>
        <w:ind w:left="916" w:hanging="360"/>
      </w:pPr>
      <w:rPr>
        <w:rFonts w:ascii="Symbol" w:eastAsia="Symbol" w:hAnsi="Symbol" w:cs="Symbol" w:hint="default"/>
        <w:w w:val="100"/>
        <w:sz w:val="22"/>
        <w:szCs w:val="22"/>
        <w:lang w:val="en-AU" w:eastAsia="en-AU" w:bidi="en-AU"/>
      </w:rPr>
    </w:lvl>
    <w:lvl w:ilvl="2" w:tplc="341EF27C">
      <w:numFmt w:val="bullet"/>
      <w:lvlText w:val="•"/>
      <w:lvlJc w:val="left"/>
      <w:pPr>
        <w:ind w:left="920" w:hanging="360"/>
      </w:pPr>
      <w:rPr>
        <w:rFonts w:hint="default"/>
        <w:lang w:val="en-AU" w:eastAsia="en-AU" w:bidi="en-AU"/>
      </w:rPr>
    </w:lvl>
    <w:lvl w:ilvl="3" w:tplc="3904C574">
      <w:numFmt w:val="bullet"/>
      <w:lvlText w:val="•"/>
      <w:lvlJc w:val="left"/>
      <w:pPr>
        <w:ind w:left="1960" w:hanging="360"/>
      </w:pPr>
      <w:rPr>
        <w:rFonts w:hint="default"/>
        <w:lang w:val="en-AU" w:eastAsia="en-AU" w:bidi="en-AU"/>
      </w:rPr>
    </w:lvl>
    <w:lvl w:ilvl="4" w:tplc="98B4A1FA">
      <w:numFmt w:val="bullet"/>
      <w:lvlText w:val="•"/>
      <w:lvlJc w:val="left"/>
      <w:pPr>
        <w:ind w:left="3001" w:hanging="360"/>
      </w:pPr>
      <w:rPr>
        <w:rFonts w:hint="default"/>
        <w:lang w:val="en-AU" w:eastAsia="en-AU" w:bidi="en-AU"/>
      </w:rPr>
    </w:lvl>
    <w:lvl w:ilvl="5" w:tplc="5B8ED534">
      <w:numFmt w:val="bullet"/>
      <w:lvlText w:val="•"/>
      <w:lvlJc w:val="left"/>
      <w:pPr>
        <w:ind w:left="4042" w:hanging="360"/>
      </w:pPr>
      <w:rPr>
        <w:rFonts w:hint="default"/>
        <w:lang w:val="en-AU" w:eastAsia="en-AU" w:bidi="en-AU"/>
      </w:rPr>
    </w:lvl>
    <w:lvl w:ilvl="6" w:tplc="DD5EED62">
      <w:numFmt w:val="bullet"/>
      <w:lvlText w:val="•"/>
      <w:lvlJc w:val="left"/>
      <w:pPr>
        <w:ind w:left="5083" w:hanging="360"/>
      </w:pPr>
      <w:rPr>
        <w:rFonts w:hint="default"/>
        <w:lang w:val="en-AU" w:eastAsia="en-AU" w:bidi="en-AU"/>
      </w:rPr>
    </w:lvl>
    <w:lvl w:ilvl="7" w:tplc="654805D4">
      <w:numFmt w:val="bullet"/>
      <w:lvlText w:val="•"/>
      <w:lvlJc w:val="left"/>
      <w:pPr>
        <w:ind w:left="6124" w:hanging="360"/>
      </w:pPr>
      <w:rPr>
        <w:rFonts w:hint="default"/>
        <w:lang w:val="en-AU" w:eastAsia="en-AU" w:bidi="en-AU"/>
      </w:rPr>
    </w:lvl>
    <w:lvl w:ilvl="8" w:tplc="FD60E9F4">
      <w:numFmt w:val="bullet"/>
      <w:lvlText w:val="•"/>
      <w:lvlJc w:val="left"/>
      <w:pPr>
        <w:ind w:left="7164" w:hanging="360"/>
      </w:pPr>
      <w:rPr>
        <w:rFonts w:hint="default"/>
        <w:lang w:val="en-AU" w:eastAsia="en-AU" w:bidi="en-AU"/>
      </w:rPr>
    </w:lvl>
  </w:abstractNum>
  <w:abstractNum w:abstractNumId="11"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B9D7339"/>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13" w15:restartNumberingAfterBreak="0">
    <w:nsid w:val="2CDF21E0"/>
    <w:multiLevelType w:val="hybridMultilevel"/>
    <w:tmpl w:val="6DD4B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C36E9A"/>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15" w15:restartNumberingAfterBreak="0">
    <w:nsid w:val="42296888"/>
    <w:multiLevelType w:val="multilevel"/>
    <w:tmpl w:val="AE323C52"/>
    <w:lvl w:ilvl="0">
      <w:start w:val="1"/>
      <w:numFmt w:val="bullet"/>
      <w:lvlText w:val=""/>
      <w:lvlJc w:val="left"/>
      <w:pPr>
        <w:ind w:left="227" w:hanging="227"/>
      </w:pPr>
      <w:rPr>
        <w:rFonts w:ascii="Symbol" w:hAnsi="Symbol" w:hint="default"/>
        <w:color w:val="323232" w:themeColor="accent1"/>
      </w:rPr>
    </w:lvl>
    <w:lvl w:ilvl="1">
      <w:start w:val="1"/>
      <w:numFmt w:val="bullet"/>
      <w:lvlText w:val="–"/>
      <w:lvlJc w:val="left"/>
      <w:pPr>
        <w:ind w:left="454" w:hanging="227"/>
      </w:pPr>
      <w:rPr>
        <w:rFonts w:ascii="Arial" w:hAnsi="Arial" w:hint="default"/>
        <w:color w:val="323232" w:themeColor="accent1"/>
      </w:rPr>
    </w:lvl>
    <w:lvl w:ilvl="2">
      <w:start w:val="1"/>
      <w:numFmt w:val="bullet"/>
      <w:lvlText w:val="»"/>
      <w:lvlJc w:val="left"/>
      <w:pPr>
        <w:ind w:left="681" w:hanging="227"/>
      </w:pPr>
      <w:rPr>
        <w:rFonts w:ascii="Arial" w:hAnsi="Arial" w:hint="default"/>
        <w:color w:val="323232" w:themeColor="accent1"/>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6" w15:restartNumberingAfterBreak="0">
    <w:nsid w:val="42B30A3B"/>
    <w:multiLevelType w:val="hybridMultilevel"/>
    <w:tmpl w:val="3EF49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46710E1D"/>
    <w:multiLevelType w:val="hybridMultilevel"/>
    <w:tmpl w:val="1EE22970"/>
    <w:lvl w:ilvl="0" w:tplc="75BE73EC">
      <w:start w:val="4"/>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1"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pStyle w:val="Heading4Numbered"/>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6A378F"/>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23" w15:restartNumberingAfterBreak="0">
    <w:nsid w:val="5FD77AAA"/>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24"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7A72ECB"/>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26" w15:restartNumberingAfterBreak="0">
    <w:nsid w:val="6AA80213"/>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27" w15:restartNumberingAfterBreak="0">
    <w:nsid w:val="738A4D83"/>
    <w:multiLevelType w:val="multilevel"/>
    <w:tmpl w:val="AE323C52"/>
    <w:styleLink w:val="DefaultBullets"/>
    <w:lvl w:ilvl="0">
      <w:start w:val="1"/>
      <w:numFmt w:val="bullet"/>
      <w:lvlText w:val=""/>
      <w:lvlJc w:val="left"/>
      <w:pPr>
        <w:ind w:left="227" w:hanging="227"/>
      </w:pPr>
      <w:rPr>
        <w:rFonts w:ascii="Symbol" w:hAnsi="Symbol" w:hint="default"/>
        <w:color w:val="323232" w:themeColor="accent1"/>
      </w:rPr>
    </w:lvl>
    <w:lvl w:ilvl="1">
      <w:start w:val="1"/>
      <w:numFmt w:val="bullet"/>
      <w:lvlText w:val="–"/>
      <w:lvlJc w:val="left"/>
      <w:pPr>
        <w:ind w:left="454" w:hanging="227"/>
      </w:pPr>
      <w:rPr>
        <w:rFonts w:ascii="Arial" w:hAnsi="Arial" w:hint="default"/>
        <w:color w:val="323232" w:themeColor="accent1"/>
      </w:rPr>
    </w:lvl>
    <w:lvl w:ilvl="2">
      <w:start w:val="1"/>
      <w:numFmt w:val="bullet"/>
      <w:lvlText w:val="»"/>
      <w:lvlJc w:val="left"/>
      <w:pPr>
        <w:ind w:left="681" w:hanging="227"/>
      </w:pPr>
      <w:rPr>
        <w:rFonts w:ascii="Arial" w:hAnsi="Arial" w:hint="default"/>
        <w:color w:val="323232" w:themeColor="accent1"/>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28" w15:restartNumberingAfterBreak="0">
    <w:nsid w:val="75EF2EF9"/>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29" w15:restartNumberingAfterBreak="0">
    <w:nsid w:val="771D52B5"/>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30" w15:restartNumberingAfterBreak="0">
    <w:nsid w:val="7A0319F4"/>
    <w:multiLevelType w:val="hybridMultilevel"/>
    <w:tmpl w:val="AC7A578C"/>
    <w:lvl w:ilvl="0" w:tplc="75BE73EC">
      <w:start w:val="4"/>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7"/>
  </w:num>
  <w:num w:numId="4">
    <w:abstractNumId w:val="11"/>
  </w:num>
  <w:num w:numId="5">
    <w:abstractNumId w:val="19"/>
  </w:num>
  <w:num w:numId="6">
    <w:abstractNumId w:val="0"/>
  </w:num>
  <w:num w:numId="7">
    <w:abstractNumId w:val="6"/>
  </w:num>
  <w:num w:numId="8">
    <w:abstractNumId w:val="30"/>
  </w:num>
  <w:num w:numId="9">
    <w:abstractNumId w:val="9"/>
  </w:num>
  <w:num w:numId="10">
    <w:abstractNumId w:val="23"/>
  </w:num>
  <w:num w:numId="11">
    <w:abstractNumId w:val="28"/>
  </w:num>
  <w:num w:numId="12">
    <w:abstractNumId w:val="12"/>
  </w:num>
  <w:num w:numId="13">
    <w:abstractNumId w:val="5"/>
  </w:num>
  <w:num w:numId="14">
    <w:abstractNumId w:val="22"/>
  </w:num>
  <w:num w:numId="15">
    <w:abstractNumId w:val="26"/>
  </w:num>
  <w:num w:numId="16">
    <w:abstractNumId w:val="14"/>
  </w:num>
  <w:num w:numId="17">
    <w:abstractNumId w:val="21"/>
  </w:num>
  <w:num w:numId="18">
    <w:abstractNumId w:val="27"/>
  </w:num>
  <w:num w:numId="19">
    <w:abstractNumId w:val="29"/>
  </w:num>
  <w:num w:numId="20">
    <w:abstractNumId w:val="25"/>
  </w:num>
  <w:num w:numId="21">
    <w:abstractNumId w:val="7"/>
  </w:num>
  <w:num w:numId="22">
    <w:abstractNumId w:val="18"/>
  </w:num>
  <w:num w:numId="23">
    <w:abstractNumId w:val="30"/>
  </w:num>
  <w:num w:numId="24">
    <w:abstractNumId w:val="8"/>
  </w:num>
  <w:num w:numId="25">
    <w:abstractNumId w:val="15"/>
  </w:num>
  <w:num w:numId="26">
    <w:abstractNumId w:val="4"/>
  </w:num>
  <w:num w:numId="27">
    <w:abstractNumId w:val="13"/>
  </w:num>
  <w:num w:numId="28">
    <w:abstractNumId w:val="3"/>
  </w:num>
  <w:num w:numId="29">
    <w:abstractNumId w:val="10"/>
  </w:num>
  <w:num w:numId="30">
    <w:abstractNumId w:val="2"/>
  </w:num>
  <w:num w:numId="31">
    <w:abstractNumId w:val="1"/>
  </w:num>
  <w:num w:numId="3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567"/>
  <w:drawingGridHorizontalSpacing w:val="105"/>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AC"/>
    <w:rsid w:val="00001487"/>
    <w:rsid w:val="000016B9"/>
    <w:rsid w:val="000068D5"/>
    <w:rsid w:val="000244FA"/>
    <w:rsid w:val="00024A4A"/>
    <w:rsid w:val="00030790"/>
    <w:rsid w:val="00030CC1"/>
    <w:rsid w:val="00034546"/>
    <w:rsid w:val="00036B92"/>
    <w:rsid w:val="000419C1"/>
    <w:rsid w:val="00043B50"/>
    <w:rsid w:val="0005196D"/>
    <w:rsid w:val="000650AF"/>
    <w:rsid w:val="00065CEA"/>
    <w:rsid w:val="00070067"/>
    <w:rsid w:val="0007232E"/>
    <w:rsid w:val="0007453E"/>
    <w:rsid w:val="00076543"/>
    <w:rsid w:val="00076803"/>
    <w:rsid w:val="00081DD1"/>
    <w:rsid w:val="00090A83"/>
    <w:rsid w:val="000A2FFC"/>
    <w:rsid w:val="000A6B63"/>
    <w:rsid w:val="000B13CB"/>
    <w:rsid w:val="000B5FB1"/>
    <w:rsid w:val="000B7722"/>
    <w:rsid w:val="000B77F9"/>
    <w:rsid w:val="000C3F1E"/>
    <w:rsid w:val="000C6C34"/>
    <w:rsid w:val="000F40E6"/>
    <w:rsid w:val="000F5CCD"/>
    <w:rsid w:val="000F5D86"/>
    <w:rsid w:val="00112938"/>
    <w:rsid w:val="0011798B"/>
    <w:rsid w:val="0015010B"/>
    <w:rsid w:val="00152EB7"/>
    <w:rsid w:val="00153F9E"/>
    <w:rsid w:val="0016080C"/>
    <w:rsid w:val="001623DE"/>
    <w:rsid w:val="00162701"/>
    <w:rsid w:val="00183C63"/>
    <w:rsid w:val="001912A2"/>
    <w:rsid w:val="001966FA"/>
    <w:rsid w:val="00197666"/>
    <w:rsid w:val="001A0139"/>
    <w:rsid w:val="001A0956"/>
    <w:rsid w:val="001C1FF2"/>
    <w:rsid w:val="001D6969"/>
    <w:rsid w:val="001E7690"/>
    <w:rsid w:val="001E76BA"/>
    <w:rsid w:val="001F28E7"/>
    <w:rsid w:val="002009BA"/>
    <w:rsid w:val="0020528D"/>
    <w:rsid w:val="00211A09"/>
    <w:rsid w:val="00214A8E"/>
    <w:rsid w:val="00215465"/>
    <w:rsid w:val="00241DEB"/>
    <w:rsid w:val="002479CE"/>
    <w:rsid w:val="002846D8"/>
    <w:rsid w:val="002A0832"/>
    <w:rsid w:val="002A093C"/>
    <w:rsid w:val="002A5458"/>
    <w:rsid w:val="002C632F"/>
    <w:rsid w:val="002C6B74"/>
    <w:rsid w:val="002D33BC"/>
    <w:rsid w:val="002D4A59"/>
    <w:rsid w:val="002D6623"/>
    <w:rsid w:val="002E7655"/>
    <w:rsid w:val="002F3300"/>
    <w:rsid w:val="003010B0"/>
    <w:rsid w:val="00311E78"/>
    <w:rsid w:val="003201EC"/>
    <w:rsid w:val="003238CE"/>
    <w:rsid w:val="00340195"/>
    <w:rsid w:val="003439ED"/>
    <w:rsid w:val="00347A58"/>
    <w:rsid w:val="00350BD3"/>
    <w:rsid w:val="00354F6D"/>
    <w:rsid w:val="003633F5"/>
    <w:rsid w:val="00376A58"/>
    <w:rsid w:val="003776D0"/>
    <w:rsid w:val="003932D7"/>
    <w:rsid w:val="00395985"/>
    <w:rsid w:val="003A641C"/>
    <w:rsid w:val="003B0D48"/>
    <w:rsid w:val="003B13F4"/>
    <w:rsid w:val="003B75A6"/>
    <w:rsid w:val="003C0F24"/>
    <w:rsid w:val="003D2C5E"/>
    <w:rsid w:val="003D4DBC"/>
    <w:rsid w:val="003E4D3D"/>
    <w:rsid w:val="003E6503"/>
    <w:rsid w:val="003F62F0"/>
    <w:rsid w:val="00411A3D"/>
    <w:rsid w:val="00426418"/>
    <w:rsid w:val="0043164F"/>
    <w:rsid w:val="004439BD"/>
    <w:rsid w:val="0044608E"/>
    <w:rsid w:val="004502A1"/>
    <w:rsid w:val="00452B15"/>
    <w:rsid w:val="004563B4"/>
    <w:rsid w:val="00462B12"/>
    <w:rsid w:val="00462EA4"/>
    <w:rsid w:val="00481CE3"/>
    <w:rsid w:val="00481F70"/>
    <w:rsid w:val="00482E0B"/>
    <w:rsid w:val="00496C0F"/>
    <w:rsid w:val="00496CD4"/>
    <w:rsid w:val="004B4981"/>
    <w:rsid w:val="004B502E"/>
    <w:rsid w:val="004C10AE"/>
    <w:rsid w:val="004C1925"/>
    <w:rsid w:val="004E1736"/>
    <w:rsid w:val="004E69B5"/>
    <w:rsid w:val="004E6B1C"/>
    <w:rsid w:val="004F131E"/>
    <w:rsid w:val="004F3D98"/>
    <w:rsid w:val="004F50AC"/>
    <w:rsid w:val="004F5B70"/>
    <w:rsid w:val="004F74DA"/>
    <w:rsid w:val="0050137A"/>
    <w:rsid w:val="005014D9"/>
    <w:rsid w:val="00503E7E"/>
    <w:rsid w:val="00512E77"/>
    <w:rsid w:val="0052512D"/>
    <w:rsid w:val="0053763A"/>
    <w:rsid w:val="0054352A"/>
    <w:rsid w:val="0056147F"/>
    <w:rsid w:val="005638F1"/>
    <w:rsid w:val="005654E8"/>
    <w:rsid w:val="0056580F"/>
    <w:rsid w:val="00570FEF"/>
    <w:rsid w:val="00576D35"/>
    <w:rsid w:val="00577AA3"/>
    <w:rsid w:val="0058377A"/>
    <w:rsid w:val="00586AC8"/>
    <w:rsid w:val="005A2C39"/>
    <w:rsid w:val="005A60DB"/>
    <w:rsid w:val="005A67F0"/>
    <w:rsid w:val="005B369E"/>
    <w:rsid w:val="005C344B"/>
    <w:rsid w:val="005C54B5"/>
    <w:rsid w:val="005C72CC"/>
    <w:rsid w:val="005C7FE6"/>
    <w:rsid w:val="005E506B"/>
    <w:rsid w:val="005E5305"/>
    <w:rsid w:val="005F624C"/>
    <w:rsid w:val="006046FF"/>
    <w:rsid w:val="00622565"/>
    <w:rsid w:val="0062733A"/>
    <w:rsid w:val="0063036E"/>
    <w:rsid w:val="00631976"/>
    <w:rsid w:val="00632F54"/>
    <w:rsid w:val="00633AF4"/>
    <w:rsid w:val="00635C80"/>
    <w:rsid w:val="0064089F"/>
    <w:rsid w:val="00650DC7"/>
    <w:rsid w:val="006515F5"/>
    <w:rsid w:val="006536A9"/>
    <w:rsid w:val="00657E57"/>
    <w:rsid w:val="006610FF"/>
    <w:rsid w:val="00665B9F"/>
    <w:rsid w:val="00680C6F"/>
    <w:rsid w:val="00685229"/>
    <w:rsid w:val="006857D9"/>
    <w:rsid w:val="006875BB"/>
    <w:rsid w:val="0069624A"/>
    <w:rsid w:val="006A2843"/>
    <w:rsid w:val="006A2AEC"/>
    <w:rsid w:val="006A6360"/>
    <w:rsid w:val="006B3724"/>
    <w:rsid w:val="006C1037"/>
    <w:rsid w:val="006C6267"/>
    <w:rsid w:val="006C74C3"/>
    <w:rsid w:val="006D2273"/>
    <w:rsid w:val="006D4518"/>
    <w:rsid w:val="006D5CDC"/>
    <w:rsid w:val="006E46CD"/>
    <w:rsid w:val="006F7929"/>
    <w:rsid w:val="0073089A"/>
    <w:rsid w:val="00734276"/>
    <w:rsid w:val="00745525"/>
    <w:rsid w:val="0075145D"/>
    <w:rsid w:val="00752EAD"/>
    <w:rsid w:val="00763251"/>
    <w:rsid w:val="0076392F"/>
    <w:rsid w:val="00773B63"/>
    <w:rsid w:val="007903B1"/>
    <w:rsid w:val="0079069F"/>
    <w:rsid w:val="00791007"/>
    <w:rsid w:val="007A3CB0"/>
    <w:rsid w:val="007A6A50"/>
    <w:rsid w:val="007B43B5"/>
    <w:rsid w:val="007D1FEC"/>
    <w:rsid w:val="007D26DC"/>
    <w:rsid w:val="007D5985"/>
    <w:rsid w:val="007D72ED"/>
    <w:rsid w:val="007E76A2"/>
    <w:rsid w:val="008058BB"/>
    <w:rsid w:val="00810221"/>
    <w:rsid w:val="00810457"/>
    <w:rsid w:val="00815AAF"/>
    <w:rsid w:val="00817D54"/>
    <w:rsid w:val="008266EE"/>
    <w:rsid w:val="00826FDC"/>
    <w:rsid w:val="0082754F"/>
    <w:rsid w:val="00832B4A"/>
    <w:rsid w:val="008459DC"/>
    <w:rsid w:val="00852328"/>
    <w:rsid w:val="008545F3"/>
    <w:rsid w:val="0086024E"/>
    <w:rsid w:val="00860B3E"/>
    <w:rsid w:val="00862EE2"/>
    <w:rsid w:val="00875C35"/>
    <w:rsid w:val="008831C8"/>
    <w:rsid w:val="00883D22"/>
    <w:rsid w:val="00886A94"/>
    <w:rsid w:val="0089332C"/>
    <w:rsid w:val="008A2D11"/>
    <w:rsid w:val="008A593B"/>
    <w:rsid w:val="008D2D94"/>
    <w:rsid w:val="008D37D2"/>
    <w:rsid w:val="008D3819"/>
    <w:rsid w:val="008D5BE7"/>
    <w:rsid w:val="008E6747"/>
    <w:rsid w:val="008F3D5C"/>
    <w:rsid w:val="008F4C5B"/>
    <w:rsid w:val="0090434A"/>
    <w:rsid w:val="00910611"/>
    <w:rsid w:val="00911E43"/>
    <w:rsid w:val="00911F68"/>
    <w:rsid w:val="00913677"/>
    <w:rsid w:val="00924676"/>
    <w:rsid w:val="0092592D"/>
    <w:rsid w:val="00936F16"/>
    <w:rsid w:val="00937B2B"/>
    <w:rsid w:val="00941A30"/>
    <w:rsid w:val="00947539"/>
    <w:rsid w:val="0096313F"/>
    <w:rsid w:val="00966776"/>
    <w:rsid w:val="00966ABA"/>
    <w:rsid w:val="00975520"/>
    <w:rsid w:val="0098292E"/>
    <w:rsid w:val="009972DF"/>
    <w:rsid w:val="009B7419"/>
    <w:rsid w:val="009C0369"/>
    <w:rsid w:val="009C3892"/>
    <w:rsid w:val="009D0170"/>
    <w:rsid w:val="009D2356"/>
    <w:rsid w:val="009D6C05"/>
    <w:rsid w:val="009E391E"/>
    <w:rsid w:val="009E4EC4"/>
    <w:rsid w:val="009E7F70"/>
    <w:rsid w:val="009F0FB4"/>
    <w:rsid w:val="009F6466"/>
    <w:rsid w:val="00A02F9D"/>
    <w:rsid w:val="00A12B38"/>
    <w:rsid w:val="00A26ECF"/>
    <w:rsid w:val="00A37B88"/>
    <w:rsid w:val="00A472EE"/>
    <w:rsid w:val="00A53F9C"/>
    <w:rsid w:val="00A541B9"/>
    <w:rsid w:val="00A56436"/>
    <w:rsid w:val="00A604AC"/>
    <w:rsid w:val="00A71462"/>
    <w:rsid w:val="00A7771C"/>
    <w:rsid w:val="00A80C2F"/>
    <w:rsid w:val="00A84E79"/>
    <w:rsid w:val="00A92BF8"/>
    <w:rsid w:val="00AA3E64"/>
    <w:rsid w:val="00AA5DD1"/>
    <w:rsid w:val="00AA618D"/>
    <w:rsid w:val="00AA6E5F"/>
    <w:rsid w:val="00AB3779"/>
    <w:rsid w:val="00AB45B2"/>
    <w:rsid w:val="00AB6317"/>
    <w:rsid w:val="00AB65E7"/>
    <w:rsid w:val="00AB6DED"/>
    <w:rsid w:val="00AB7D32"/>
    <w:rsid w:val="00AC5820"/>
    <w:rsid w:val="00AD606C"/>
    <w:rsid w:val="00AD7157"/>
    <w:rsid w:val="00AE2693"/>
    <w:rsid w:val="00AE3905"/>
    <w:rsid w:val="00AE3E57"/>
    <w:rsid w:val="00AE4620"/>
    <w:rsid w:val="00AE507F"/>
    <w:rsid w:val="00AE6BD7"/>
    <w:rsid w:val="00AF112C"/>
    <w:rsid w:val="00AF4E7F"/>
    <w:rsid w:val="00B02277"/>
    <w:rsid w:val="00B23196"/>
    <w:rsid w:val="00B40CCC"/>
    <w:rsid w:val="00B45AA2"/>
    <w:rsid w:val="00B51C5D"/>
    <w:rsid w:val="00B525C2"/>
    <w:rsid w:val="00B52648"/>
    <w:rsid w:val="00B57EE2"/>
    <w:rsid w:val="00B6377C"/>
    <w:rsid w:val="00B6471A"/>
    <w:rsid w:val="00B6508B"/>
    <w:rsid w:val="00B70B52"/>
    <w:rsid w:val="00B71D00"/>
    <w:rsid w:val="00B72098"/>
    <w:rsid w:val="00B87A4C"/>
    <w:rsid w:val="00B97B55"/>
    <w:rsid w:val="00BA103B"/>
    <w:rsid w:val="00BA3EDC"/>
    <w:rsid w:val="00BB3989"/>
    <w:rsid w:val="00BC1742"/>
    <w:rsid w:val="00BC21E9"/>
    <w:rsid w:val="00BC394F"/>
    <w:rsid w:val="00BC6211"/>
    <w:rsid w:val="00BC797E"/>
    <w:rsid w:val="00C11391"/>
    <w:rsid w:val="00C140C2"/>
    <w:rsid w:val="00C157FC"/>
    <w:rsid w:val="00C17AE1"/>
    <w:rsid w:val="00C23C78"/>
    <w:rsid w:val="00C30FA2"/>
    <w:rsid w:val="00C348AF"/>
    <w:rsid w:val="00C34A60"/>
    <w:rsid w:val="00C34F4D"/>
    <w:rsid w:val="00C35D06"/>
    <w:rsid w:val="00C458A6"/>
    <w:rsid w:val="00C46430"/>
    <w:rsid w:val="00C472A2"/>
    <w:rsid w:val="00C646B3"/>
    <w:rsid w:val="00C777B3"/>
    <w:rsid w:val="00C82173"/>
    <w:rsid w:val="00C837F2"/>
    <w:rsid w:val="00C85938"/>
    <w:rsid w:val="00C973B7"/>
    <w:rsid w:val="00CA5D21"/>
    <w:rsid w:val="00CB5B48"/>
    <w:rsid w:val="00CB7CEE"/>
    <w:rsid w:val="00CC4031"/>
    <w:rsid w:val="00CD175B"/>
    <w:rsid w:val="00CE5298"/>
    <w:rsid w:val="00CF5A26"/>
    <w:rsid w:val="00D05E52"/>
    <w:rsid w:val="00D15430"/>
    <w:rsid w:val="00D2026C"/>
    <w:rsid w:val="00D249CA"/>
    <w:rsid w:val="00D24F1A"/>
    <w:rsid w:val="00D42A1A"/>
    <w:rsid w:val="00D47D94"/>
    <w:rsid w:val="00D51B7A"/>
    <w:rsid w:val="00D5471F"/>
    <w:rsid w:val="00D63564"/>
    <w:rsid w:val="00D72E45"/>
    <w:rsid w:val="00D760F0"/>
    <w:rsid w:val="00D81A8B"/>
    <w:rsid w:val="00D84344"/>
    <w:rsid w:val="00DB04F9"/>
    <w:rsid w:val="00DB064A"/>
    <w:rsid w:val="00DB76EC"/>
    <w:rsid w:val="00DC06B9"/>
    <w:rsid w:val="00DC481A"/>
    <w:rsid w:val="00DD13FE"/>
    <w:rsid w:val="00DD1627"/>
    <w:rsid w:val="00DD35A4"/>
    <w:rsid w:val="00DD4E53"/>
    <w:rsid w:val="00DD6496"/>
    <w:rsid w:val="00DD7FA7"/>
    <w:rsid w:val="00DE2D59"/>
    <w:rsid w:val="00DE6C7D"/>
    <w:rsid w:val="00DF0D0F"/>
    <w:rsid w:val="00E020B6"/>
    <w:rsid w:val="00E065BA"/>
    <w:rsid w:val="00E10C60"/>
    <w:rsid w:val="00E1142D"/>
    <w:rsid w:val="00E20794"/>
    <w:rsid w:val="00E25F01"/>
    <w:rsid w:val="00E26FBC"/>
    <w:rsid w:val="00E27DCF"/>
    <w:rsid w:val="00E27E63"/>
    <w:rsid w:val="00E30105"/>
    <w:rsid w:val="00E43F8B"/>
    <w:rsid w:val="00E46259"/>
    <w:rsid w:val="00E524DA"/>
    <w:rsid w:val="00E561E7"/>
    <w:rsid w:val="00E612A0"/>
    <w:rsid w:val="00E670FD"/>
    <w:rsid w:val="00E73B61"/>
    <w:rsid w:val="00E753AA"/>
    <w:rsid w:val="00E8076F"/>
    <w:rsid w:val="00E817B2"/>
    <w:rsid w:val="00E850F8"/>
    <w:rsid w:val="00E93F07"/>
    <w:rsid w:val="00E94769"/>
    <w:rsid w:val="00EA0832"/>
    <w:rsid w:val="00EC7585"/>
    <w:rsid w:val="00F04053"/>
    <w:rsid w:val="00F05B52"/>
    <w:rsid w:val="00F05E53"/>
    <w:rsid w:val="00F10C69"/>
    <w:rsid w:val="00F11E01"/>
    <w:rsid w:val="00F141C9"/>
    <w:rsid w:val="00F15362"/>
    <w:rsid w:val="00F21382"/>
    <w:rsid w:val="00F2301E"/>
    <w:rsid w:val="00F43E6B"/>
    <w:rsid w:val="00F47ECA"/>
    <w:rsid w:val="00F53D3C"/>
    <w:rsid w:val="00F65D04"/>
    <w:rsid w:val="00F826ED"/>
    <w:rsid w:val="00F875BD"/>
    <w:rsid w:val="00FB1226"/>
    <w:rsid w:val="00FB3938"/>
    <w:rsid w:val="00FC70CA"/>
    <w:rsid w:val="00FE0459"/>
    <w:rsid w:val="00FE0B23"/>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CE94AA"/>
  <w15:docId w15:val="{9ACA5A6C-7684-4CA3-B12B-4E792984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BA103B"/>
    <w:pPr>
      <w:keepNext/>
      <w:suppressAutoHyphens/>
      <w:spacing w:before="360" w:after="120" w:line="380" w:lineRule="exact"/>
      <w:outlineLvl w:val="0"/>
    </w:pPr>
    <w:rPr>
      <w:rFonts w:eastAsiaTheme="majorEastAsia" w:cstheme="majorBidi"/>
      <w:bCs/>
      <w:caps/>
      <w:color w:val="482D8C" w:themeColor="background2"/>
      <w:kern w:val="36"/>
      <w:sz w:val="36"/>
      <w:szCs w:val="48"/>
      <w:lang w:eastAsia="en-AU"/>
    </w:rPr>
  </w:style>
  <w:style w:type="paragraph" w:styleId="Heading2">
    <w:name w:val="heading 2"/>
    <w:basedOn w:val="Normal"/>
    <w:next w:val="Heading3"/>
    <w:link w:val="Heading2Char"/>
    <w:uiPriority w:val="9"/>
    <w:unhideWhenUsed/>
    <w:qFormat/>
    <w:rsid w:val="00BA103B"/>
    <w:pPr>
      <w:keepNext/>
      <w:suppressAutoHyphens/>
      <w:spacing w:before="240" w:after="60" w:line="300" w:lineRule="exact"/>
      <w:outlineLvl w:val="1"/>
    </w:pPr>
    <w:rPr>
      <w:caps/>
      <w:color w:val="00AEEF" w:themeColor="text2"/>
      <w:sz w:val="32"/>
      <w:szCs w:val="36"/>
    </w:rPr>
  </w:style>
  <w:style w:type="paragraph" w:styleId="Heading3">
    <w:name w:val="heading 3"/>
    <w:basedOn w:val="Normal"/>
    <w:next w:val="Normal"/>
    <w:link w:val="Heading3Char"/>
    <w:uiPriority w:val="9"/>
    <w:unhideWhenUsed/>
    <w:qFormat/>
    <w:rsid w:val="00A80C2F"/>
    <w:pPr>
      <w:keepNext/>
      <w:suppressAutoHyphens/>
      <w:spacing w:before="200" w:after="60" w:line="240" w:lineRule="exact"/>
      <w:outlineLvl w:val="2"/>
    </w:pPr>
    <w:rPr>
      <w:rFonts w:asciiTheme="majorHAnsi" w:hAnsiTheme="majorHAnsi"/>
      <w:b/>
      <w:caps/>
      <w:color w:val="323232" w:themeColor="accent1"/>
      <w:sz w:val="24"/>
      <w:szCs w:val="28"/>
    </w:rPr>
  </w:style>
  <w:style w:type="paragraph" w:styleId="Heading4">
    <w:name w:val="heading 4"/>
    <w:basedOn w:val="Normal"/>
    <w:link w:val="Heading4Char"/>
    <w:uiPriority w:val="9"/>
    <w:unhideWhenUsed/>
    <w:qFormat/>
    <w:rsid w:val="00E020B6"/>
    <w:pPr>
      <w:keepNext/>
      <w:spacing w:before="200" w:after="60" w:line="240" w:lineRule="exact"/>
      <w:outlineLvl w:val="3"/>
    </w:pPr>
    <w:rPr>
      <w:rFonts w:asciiTheme="majorHAnsi" w:hAnsiTheme="majorHAnsi"/>
      <w:bCs/>
      <w:color w:val="482D8C" w:themeColor="background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03B"/>
    <w:rPr>
      <w:rFonts w:eastAsiaTheme="majorEastAsia" w:cstheme="majorBidi"/>
      <w:bCs/>
      <w:caps/>
      <w:color w:val="482D8C" w:themeColor="background2"/>
      <w:kern w:val="36"/>
      <w:sz w:val="36"/>
      <w:szCs w:val="48"/>
      <w:lang w:eastAsia="en-AU"/>
    </w:rPr>
  </w:style>
  <w:style w:type="character" w:customStyle="1" w:styleId="Heading2Char">
    <w:name w:val="Heading 2 Char"/>
    <w:basedOn w:val="DefaultParagraphFont"/>
    <w:link w:val="Heading2"/>
    <w:uiPriority w:val="9"/>
    <w:rsid w:val="00BA103B"/>
    <w:rPr>
      <w:rFonts w:cs="Times New Roman"/>
      <w:caps/>
      <w:color w:val="00AEEF" w:themeColor="text2"/>
      <w:sz w:val="32"/>
      <w:szCs w:val="36"/>
      <w:lang w:eastAsia="en-AU"/>
    </w:rPr>
  </w:style>
  <w:style w:type="character" w:customStyle="1" w:styleId="Heading3Char">
    <w:name w:val="Heading 3 Char"/>
    <w:basedOn w:val="DefaultParagraphFont"/>
    <w:link w:val="Heading3"/>
    <w:uiPriority w:val="9"/>
    <w:rsid w:val="00A80C2F"/>
    <w:rPr>
      <w:rFonts w:asciiTheme="majorHAnsi" w:hAnsiTheme="majorHAnsi" w:cs="Times New Roman"/>
      <w:b/>
      <w:caps/>
      <w:color w:val="323232" w:themeColor="accent1"/>
      <w:sz w:val="24"/>
      <w:szCs w:val="28"/>
      <w:lang w:eastAsia="en-AU"/>
    </w:rPr>
  </w:style>
  <w:style w:type="character" w:customStyle="1" w:styleId="Heading4Char">
    <w:name w:val="Heading 4 Char"/>
    <w:basedOn w:val="DefaultParagraphFont"/>
    <w:link w:val="Heading4"/>
    <w:uiPriority w:val="9"/>
    <w:rsid w:val="00E020B6"/>
    <w:rPr>
      <w:rFonts w:asciiTheme="majorHAnsi" w:hAnsiTheme="majorHAnsi" w:cs="Times New Roman"/>
      <w:bCs/>
      <w:color w:val="482D8C" w:themeColor="background2"/>
      <w:sz w:val="24"/>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uiPriority w:val="2"/>
    <w:qFormat/>
    <w:rsid w:val="00F53D3C"/>
    <w:pPr>
      <w:numPr>
        <w:numId w:val="1"/>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uiPriority w:val="2"/>
    <w:rsid w:val="00F53D3C"/>
    <w:rPr>
      <w:rFonts w:eastAsia="Times New Roman" w:cs="Times New Roman"/>
      <w:szCs w:val="20"/>
    </w:rPr>
  </w:style>
  <w:style w:type="paragraph" w:customStyle="1" w:styleId="Bullet2">
    <w:name w:val="Bullet 2"/>
    <w:basedOn w:val="Bullet1"/>
    <w:link w:val="Bullet2Char"/>
    <w:uiPriority w:val="2"/>
    <w:qFormat/>
    <w:rsid w:val="002A5458"/>
    <w:pPr>
      <w:numPr>
        <w:numId w:val="2"/>
      </w:numPr>
      <w:ind w:left="630" w:hanging="273"/>
    </w:pPr>
  </w:style>
  <w:style w:type="character" w:customStyle="1" w:styleId="Bullet2Char">
    <w:name w:val="Bullet 2 Char"/>
    <w:basedOn w:val="Bullet1Char"/>
    <w:link w:val="Bullet2"/>
    <w:uiPriority w:val="2"/>
    <w:rsid w:val="002A5458"/>
    <w:rPr>
      <w:rFonts w:eastAsia="Times New Roman" w:cs="Times New Roman"/>
      <w:szCs w:val="20"/>
    </w:rPr>
  </w:style>
  <w:style w:type="paragraph" w:customStyle="1" w:styleId="Bullet3">
    <w:name w:val="Bullet 3"/>
    <w:basedOn w:val="Bullet2"/>
    <w:uiPriority w:val="2"/>
    <w:qFormat/>
    <w:rsid w:val="002A5458"/>
    <w:pPr>
      <w:numPr>
        <w:numId w:val="3"/>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aliases w:val="Brief List Paragraph 1,DDM Gen Text,List Paragraph1,List Paragraph11,Recommendation,Body Numbering,Bullet Point,L,Bullet points,Content descriptions,standard lewis,CDHP List Paragraph,Bullet point,List Paragraph111,F5 List Paragraph"/>
    <w:basedOn w:val="Normal"/>
    <w:link w:val="ListParagraphChar"/>
    <w:uiPriority w:val="34"/>
    <w:qFormat/>
    <w:rsid w:val="00AA6E5F"/>
    <w:pPr>
      <w:ind w:left="720"/>
      <w:contextualSpacing/>
    </w:pPr>
  </w:style>
  <w:style w:type="paragraph" w:customStyle="1" w:styleId="Tableheadbold">
    <w:name w:val="Table head bold"/>
    <w:basedOn w:val="Normal"/>
    <w:next w:val="Tablebody"/>
    <w:qFormat/>
    <w:rsid w:val="00BA103B"/>
    <w:pPr>
      <w:spacing w:after="0"/>
    </w:pPr>
    <w:rPr>
      <w:rFonts w:ascii="Calibri" w:eastAsia="Times New Roman" w:hAnsi="Calibri"/>
      <w:b/>
      <w:sz w:val="24"/>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A12B38"/>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A12B38"/>
    <w:pPr>
      <w:spacing w:line="270" w:lineRule="exact"/>
    </w:pPr>
    <w:rPr>
      <w:noProof/>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styleId="PlaceholderText">
    <w:name w:val="Placeholder Text"/>
    <w:basedOn w:val="DefaultParagraphFont"/>
    <w:uiPriority w:val="99"/>
    <w:semiHidden/>
    <w:rsid w:val="00AA5DD1"/>
    <w:rPr>
      <w:color w:val="808080"/>
    </w:rPr>
  </w:style>
  <w:style w:type="paragraph" w:customStyle="1" w:styleId="BoldHeading1">
    <w:name w:val="Bold Heading 1"/>
    <w:basedOn w:val="Heading1"/>
    <w:link w:val="BoldHeading1Char"/>
    <w:qFormat/>
    <w:rsid w:val="00BA103B"/>
    <w:rPr>
      <w:b/>
      <w:noProof/>
      <w:color w:val="000000" w:themeColor="text1"/>
      <w:sz w:val="40"/>
      <w:szCs w:val="40"/>
    </w:rPr>
  </w:style>
  <w:style w:type="paragraph" w:customStyle="1" w:styleId="HighlightedBodyText">
    <w:name w:val="Highlighted Body Text"/>
    <w:basedOn w:val="bodytextreverse"/>
    <w:qFormat/>
    <w:rsid w:val="0020528D"/>
    <w:rPr>
      <w:b/>
      <w:color w:val="482D8C" w:themeColor="background2"/>
    </w:rPr>
  </w:style>
  <w:style w:type="character" w:customStyle="1" w:styleId="BoldHeading1Char">
    <w:name w:val="Bold Heading 1 Char"/>
    <w:basedOn w:val="Heading1Char"/>
    <w:link w:val="BoldHeading1"/>
    <w:rsid w:val="00BA103B"/>
    <w:rPr>
      <w:rFonts w:eastAsiaTheme="majorEastAsia" w:cstheme="majorBidi"/>
      <w:b/>
      <w:bCs/>
      <w:caps/>
      <w:noProof/>
      <w:color w:val="000000" w:themeColor="text1"/>
      <w:kern w:val="36"/>
      <w:sz w:val="40"/>
      <w:szCs w:val="40"/>
      <w:lang w:eastAsia="en-AU"/>
    </w:rPr>
  </w:style>
  <w:style w:type="paragraph" w:customStyle="1" w:styleId="Heading1Numbered">
    <w:name w:val="Heading 1 Numbered"/>
    <w:basedOn w:val="Heading1"/>
    <w:uiPriority w:val="10"/>
    <w:qFormat/>
    <w:rsid w:val="00183C63"/>
    <w:pPr>
      <w:keepLines/>
      <w:pageBreakBefore/>
      <w:numPr>
        <w:numId w:val="17"/>
      </w:numPr>
      <w:spacing w:before="900" w:after="360" w:line="600" w:lineRule="atLeast"/>
    </w:pPr>
    <w:rPr>
      <w:rFonts w:asciiTheme="majorHAnsi" w:hAnsiTheme="majorHAnsi"/>
      <w:bCs w:val="0"/>
      <w:caps w:val="0"/>
      <w:color w:val="323232" w:themeColor="accent1"/>
      <w:kern w:val="0"/>
      <w:sz w:val="50"/>
      <w:szCs w:val="32"/>
      <w:lang w:eastAsia="en-US"/>
    </w:rPr>
  </w:style>
  <w:style w:type="paragraph" w:customStyle="1" w:styleId="Heading2Numbered">
    <w:name w:val="Heading 2 Numbered"/>
    <w:basedOn w:val="Heading2"/>
    <w:uiPriority w:val="10"/>
    <w:qFormat/>
    <w:rsid w:val="00183C63"/>
    <w:pPr>
      <w:keepLines/>
      <w:numPr>
        <w:ilvl w:val="1"/>
        <w:numId w:val="17"/>
      </w:numPr>
      <w:spacing w:before="360" w:after="240" w:line="440" w:lineRule="atLeast"/>
    </w:pPr>
    <w:rPr>
      <w:rFonts w:ascii="Work Sans Medium" w:eastAsiaTheme="majorEastAsia" w:hAnsi="Work Sans Medium" w:cstheme="majorBidi"/>
      <w:caps w:val="0"/>
      <w:sz w:val="30"/>
      <w:szCs w:val="26"/>
      <w:lang w:eastAsia="en-US"/>
    </w:rPr>
  </w:style>
  <w:style w:type="paragraph" w:customStyle="1" w:styleId="Heading3Numbered">
    <w:name w:val="Heading 3 Numbered"/>
    <w:basedOn w:val="Heading3"/>
    <w:uiPriority w:val="10"/>
    <w:qFormat/>
    <w:rsid w:val="00183C63"/>
    <w:pPr>
      <w:keepLines/>
      <w:numPr>
        <w:ilvl w:val="2"/>
        <w:numId w:val="17"/>
      </w:numPr>
      <w:spacing w:before="240" w:after="120" w:line="300" w:lineRule="atLeast"/>
    </w:pPr>
    <w:rPr>
      <w:rFonts w:asciiTheme="minorHAnsi" w:eastAsiaTheme="majorEastAsia" w:hAnsiTheme="minorHAnsi" w:cstheme="majorBidi"/>
      <w:b w:val="0"/>
      <w:caps w:val="0"/>
      <w:szCs w:val="24"/>
      <w:lang w:eastAsia="en-US"/>
    </w:rPr>
  </w:style>
  <w:style w:type="paragraph" w:customStyle="1" w:styleId="Heading4Numbered">
    <w:name w:val="Heading 4 Numbered"/>
    <w:basedOn w:val="Heading4"/>
    <w:uiPriority w:val="10"/>
    <w:unhideWhenUsed/>
    <w:qFormat/>
    <w:rsid w:val="00183C63"/>
    <w:pPr>
      <w:keepLines/>
      <w:numPr>
        <w:ilvl w:val="3"/>
        <w:numId w:val="17"/>
      </w:numPr>
      <w:suppressAutoHyphens/>
      <w:spacing w:before="240" w:after="120" w:line="260" w:lineRule="atLeast"/>
    </w:pPr>
    <w:rPr>
      <w:rFonts w:ascii="Work Sans Medium" w:eastAsiaTheme="majorEastAsia" w:hAnsi="Work Sans Medium" w:cstheme="majorBidi"/>
      <w:bCs w:val="0"/>
      <w:iCs/>
      <w:color w:val="000000" w:themeColor="text1"/>
      <w:sz w:val="20"/>
      <w:szCs w:val="20"/>
      <w:lang w:eastAsia="en-US"/>
    </w:rPr>
  </w:style>
  <w:style w:type="numbering" w:customStyle="1" w:styleId="NumberedHeadings">
    <w:name w:val="Numbered Headings"/>
    <w:uiPriority w:val="99"/>
    <w:rsid w:val="00183C63"/>
    <w:pPr>
      <w:numPr>
        <w:numId w:val="17"/>
      </w:numPr>
    </w:pPr>
  </w:style>
  <w:style w:type="numbering" w:customStyle="1" w:styleId="DefaultBullets">
    <w:name w:val="Default Bullets"/>
    <w:uiPriority w:val="99"/>
    <w:rsid w:val="00183C63"/>
    <w:pPr>
      <w:numPr>
        <w:numId w:val="18"/>
      </w:numPr>
    </w:pPr>
  </w:style>
  <w:style w:type="numbering" w:customStyle="1" w:styleId="FigureNumbers">
    <w:name w:val="Figure Numbers"/>
    <w:uiPriority w:val="99"/>
    <w:rsid w:val="008058BB"/>
    <w:pPr>
      <w:numPr>
        <w:numId w:val="24"/>
      </w:numPr>
    </w:pPr>
  </w:style>
  <w:style w:type="paragraph" w:customStyle="1" w:styleId="FigureTitle">
    <w:name w:val="Figure Title"/>
    <w:basedOn w:val="Normal"/>
    <w:uiPriority w:val="12"/>
    <w:qFormat/>
    <w:rsid w:val="008058BB"/>
    <w:pPr>
      <w:keepNext/>
      <w:numPr>
        <w:numId w:val="26"/>
      </w:numPr>
      <w:suppressAutoHyphens/>
      <w:spacing w:before="240" w:after="60" w:line="260" w:lineRule="atLeast"/>
    </w:pPr>
    <w:rPr>
      <w:rFonts w:ascii="Work Sans Light" w:hAnsi="Work Sans Light" w:cstheme="minorBidi"/>
      <w:color w:val="000000" w:themeColor="text1"/>
      <w:sz w:val="20"/>
      <w:szCs w:val="20"/>
      <w:lang w:eastAsia="en-US"/>
    </w:rPr>
  </w:style>
  <w:style w:type="character" w:customStyle="1" w:styleId="ListParagraphChar">
    <w:name w:val="List Paragraph Char"/>
    <w:aliases w:val="Brief List Paragraph 1 Char,DDM Gen Text Char,List Paragraph1 Char,List Paragraph11 Char,Recommendation Char,Body Numbering Char,Bullet Point Char,L Char,Bullet points Char,Content descriptions Char,standard lewis Char"/>
    <w:basedOn w:val="DefaultParagraphFont"/>
    <w:link w:val="ListParagraph"/>
    <w:uiPriority w:val="34"/>
    <w:locked/>
    <w:rsid w:val="00763251"/>
    <w:rPr>
      <w:rFonts w:cs="Times New Roman"/>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612522">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4599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www.yoursay.act.gov.au"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F20AFE2800934FBABD403E2A3039C4" ma:contentTypeVersion="11" ma:contentTypeDescription="Create a new document." ma:contentTypeScope="" ma:versionID="fdba5a7cadd6a43a725c1fdcb6ed6aff">
  <xsd:schema xmlns:xsd="http://www.w3.org/2001/XMLSchema" xmlns:xs="http://www.w3.org/2001/XMLSchema" xmlns:p="http://schemas.microsoft.com/office/2006/metadata/properties" xmlns:ns2="1082138f-5cad-4698-9bef-ca57aa706b41" xmlns:ns3="d44d96a0-06ed-483b-9d71-63b0854e51b9" targetNamespace="http://schemas.microsoft.com/office/2006/metadata/properties" ma:root="true" ma:fieldsID="f97881f1c207c1f35722822a997fca44" ns2:_="" ns3:_="">
    <xsd:import namespace="1082138f-5cad-4698-9bef-ca57aa706b41"/>
    <xsd:import namespace="d44d96a0-06ed-483b-9d71-63b0854e51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2138f-5cad-4698-9bef-ca57aa706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ate" ma:index="1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4d96a0-06ed-483b-9d71-63b0854e51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1082138f-5cad-4698-9bef-ca57aa706b4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529A0-3C12-498E-BB0F-63990330B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2138f-5cad-4698-9bef-ca57aa706b41"/>
    <ds:schemaRef ds:uri="d44d96a0-06ed-483b-9d71-63b0854e5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BE1A41-1299-49A6-9ED7-B173F9295D73}">
  <ds:schemaRefs>
    <ds:schemaRef ds:uri="http://purl.org/dc/dcmitype/"/>
    <ds:schemaRef ds:uri="http://schemas.microsoft.com/office/2006/metadata/properties"/>
    <ds:schemaRef ds:uri="http://schemas.microsoft.com/office/2006/documentManagement/types"/>
    <ds:schemaRef ds:uri="d44d96a0-06ed-483b-9d71-63b0854e51b9"/>
    <ds:schemaRef ds:uri="http://purl.org/dc/elements/1.1/"/>
    <ds:schemaRef ds:uri="http://purl.org/dc/terms/"/>
    <ds:schemaRef ds:uri="http://schemas.openxmlformats.org/package/2006/metadata/core-properties"/>
    <ds:schemaRef ds:uri="http://schemas.microsoft.com/office/infopath/2007/PartnerControls"/>
    <ds:schemaRef ds:uri="1082138f-5cad-4698-9bef-ca57aa706b41"/>
    <ds:schemaRef ds:uri="http://www.w3.org/XML/1998/namespace"/>
  </ds:schemaRefs>
</ds:datastoreItem>
</file>

<file path=customXml/itemProps3.xml><?xml version="1.0" encoding="utf-8"?>
<ds:datastoreItem xmlns:ds="http://schemas.openxmlformats.org/officeDocument/2006/customXml" ds:itemID="{D7EE3C3F-2944-407F-91EB-F97B9AA88D17}">
  <ds:schemaRefs>
    <ds:schemaRef ds:uri="http://schemas.microsoft.com/sharepoint/v3/contenttype/forms"/>
  </ds:schemaRefs>
</ds:datastoreItem>
</file>

<file path=customXml/itemProps4.xml><?xml version="1.0" encoding="utf-8"?>
<ds:datastoreItem xmlns:ds="http://schemas.openxmlformats.org/officeDocument/2006/customXml" ds:itemID="{0B84B622-62ED-41EF-B1BB-1397455E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Listening report template</vt:lpstr>
    </vt:vector>
  </TitlesOfParts>
  <Company>ACT Government</Company>
  <LinksUpToDate>false</LinksUpToDate>
  <CharactersWithSpaces>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report template</dc:title>
  <dc:creator>ACT Government</dc:creator>
  <cp:lastModifiedBy>OvertonClarke, Robert</cp:lastModifiedBy>
  <cp:revision>3</cp:revision>
  <cp:lastPrinted>2019-07-25T11:48:00Z</cp:lastPrinted>
  <dcterms:created xsi:type="dcterms:W3CDTF">2019-08-09T04:06:00Z</dcterms:created>
  <dcterms:modified xsi:type="dcterms:W3CDTF">2019-08-09T04:37:00Z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0x010100D0F20AFE2800934FBABD403E2A3039C4</vt:lpwstr>
  </property>
</Properties>
</file>